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FED06" w14:textId="63AAD542" w:rsidR="00DB5D24" w:rsidRDefault="00F05400" w:rsidP="00DB5D24">
      <w:pPr>
        <w:rPr>
          <w:rFonts w:asciiTheme="minorHAnsi" w:hAnsiTheme="minorHAnsi"/>
          <w:b/>
          <w:smallCaps/>
          <w:sz w:val="28"/>
          <w:szCs w:val="28"/>
        </w:rPr>
      </w:pPr>
      <w:r>
        <w:rPr>
          <w:rFonts w:asciiTheme="minorHAnsi" w:hAnsiTheme="minorHAnsi"/>
          <w:b/>
          <w:smallCaps/>
          <w:sz w:val="28"/>
          <w:szCs w:val="28"/>
        </w:rPr>
        <w:t>OBRAZOVANJE</w:t>
      </w:r>
      <w:r w:rsidR="001D6097">
        <w:rPr>
          <w:rFonts w:asciiTheme="minorHAnsi" w:hAnsiTheme="minorHAnsi"/>
          <w:b/>
          <w:smallCaps/>
          <w:sz w:val="28"/>
          <w:szCs w:val="28"/>
        </w:rPr>
        <w:t xml:space="preserve"> </w:t>
      </w:r>
      <w:r w:rsidR="0086088D">
        <w:rPr>
          <w:rFonts w:asciiTheme="minorHAnsi" w:hAnsiTheme="minorHAnsi"/>
          <w:b/>
          <w:smallCaps/>
          <w:sz w:val="28"/>
          <w:szCs w:val="28"/>
        </w:rPr>
        <w:t>BAČ</w:t>
      </w:r>
    </w:p>
    <w:p w14:paraId="62CF5F87" w14:textId="4890B2DB" w:rsidR="00F05400" w:rsidRDefault="00F05400" w:rsidP="00DB5D24">
      <w:pPr>
        <w:rPr>
          <w:rFonts w:asciiTheme="minorHAnsi" w:hAnsiTheme="minorHAnsi"/>
          <w:b/>
          <w:smallCaps/>
          <w:sz w:val="28"/>
          <w:szCs w:val="28"/>
        </w:rPr>
      </w:pPr>
    </w:p>
    <w:p w14:paraId="722A5C37" w14:textId="2BBCAEF9" w:rsidR="00F05400" w:rsidRDefault="00F05400" w:rsidP="00DB5D24">
      <w:pPr>
        <w:rPr>
          <w:rFonts w:asciiTheme="minorHAnsi" w:hAnsiTheme="minorHAnsi"/>
          <w:b/>
          <w:smallCaps/>
          <w:sz w:val="28"/>
          <w:szCs w:val="28"/>
        </w:rPr>
      </w:pPr>
      <w:proofErr w:type="spellStart"/>
      <w:r>
        <w:rPr>
          <w:rFonts w:asciiTheme="minorHAnsi" w:hAnsiTheme="minorHAnsi"/>
          <w:b/>
          <w:smallCaps/>
          <w:sz w:val="28"/>
          <w:szCs w:val="28"/>
        </w:rPr>
        <w:t>Nadležnost</w:t>
      </w:r>
      <w:proofErr w:type="spellEnd"/>
      <w:r>
        <w:rPr>
          <w:rFonts w:asciiTheme="minorHAnsi" w:hAnsiTheme="minorHAnsi"/>
          <w:b/>
          <w:smallCaps/>
          <w:sz w:val="28"/>
          <w:szCs w:val="28"/>
        </w:rPr>
        <w:t xml:space="preserve"> </w:t>
      </w:r>
      <w:proofErr w:type="spellStart"/>
      <w:r>
        <w:rPr>
          <w:rFonts w:asciiTheme="minorHAnsi" w:hAnsiTheme="minorHAnsi"/>
          <w:b/>
          <w:smallCaps/>
          <w:sz w:val="28"/>
          <w:szCs w:val="28"/>
        </w:rPr>
        <w:t>i</w:t>
      </w:r>
      <w:proofErr w:type="spellEnd"/>
      <w:r>
        <w:rPr>
          <w:rFonts w:asciiTheme="minorHAnsi" w:hAnsiTheme="minorHAnsi"/>
          <w:b/>
          <w:smallCaps/>
          <w:sz w:val="28"/>
          <w:szCs w:val="28"/>
        </w:rPr>
        <w:t xml:space="preserve"> </w:t>
      </w:r>
      <w:proofErr w:type="spellStart"/>
      <w:r>
        <w:rPr>
          <w:rFonts w:asciiTheme="minorHAnsi" w:hAnsiTheme="minorHAnsi"/>
          <w:b/>
          <w:smallCaps/>
          <w:sz w:val="28"/>
          <w:szCs w:val="28"/>
        </w:rPr>
        <w:t>finansiranje</w:t>
      </w:r>
      <w:proofErr w:type="spellEnd"/>
      <w:r w:rsidR="00CC4909">
        <w:rPr>
          <w:rFonts w:asciiTheme="minorHAnsi" w:hAnsiTheme="minorHAnsi"/>
          <w:b/>
          <w:smallCaps/>
          <w:sz w:val="28"/>
          <w:szCs w:val="28"/>
        </w:rPr>
        <w:t xml:space="preserve"> </w:t>
      </w:r>
      <w:r w:rsidR="00B27536">
        <w:rPr>
          <w:rFonts w:asciiTheme="minorHAnsi" w:hAnsiTheme="minorHAnsi"/>
          <w:b/>
          <w:smallCaps/>
          <w:sz w:val="28"/>
          <w:szCs w:val="28"/>
        </w:rPr>
        <w:t xml:space="preserve">JLS </w:t>
      </w:r>
      <w:r w:rsidR="00CC4909">
        <w:rPr>
          <w:rFonts w:asciiTheme="minorHAnsi" w:hAnsiTheme="minorHAnsi"/>
          <w:b/>
          <w:smallCaps/>
          <w:sz w:val="28"/>
          <w:szCs w:val="28"/>
        </w:rPr>
        <w:t xml:space="preserve">u </w:t>
      </w:r>
      <w:proofErr w:type="spellStart"/>
      <w:r w:rsidR="00CC4909">
        <w:rPr>
          <w:rFonts w:asciiTheme="minorHAnsi" w:hAnsiTheme="minorHAnsi"/>
          <w:b/>
          <w:smallCaps/>
          <w:sz w:val="28"/>
          <w:szCs w:val="28"/>
        </w:rPr>
        <w:t>sektoru</w:t>
      </w:r>
      <w:proofErr w:type="spellEnd"/>
      <w:r w:rsidR="00CC4909">
        <w:rPr>
          <w:rFonts w:asciiTheme="minorHAnsi" w:hAnsiTheme="minorHAnsi"/>
          <w:b/>
          <w:smallCaps/>
          <w:sz w:val="28"/>
          <w:szCs w:val="28"/>
        </w:rPr>
        <w:t xml:space="preserve"> </w:t>
      </w:r>
      <w:proofErr w:type="spellStart"/>
      <w:r w:rsidR="00CC4909">
        <w:rPr>
          <w:rFonts w:asciiTheme="minorHAnsi" w:hAnsiTheme="minorHAnsi"/>
          <w:b/>
          <w:smallCaps/>
          <w:sz w:val="28"/>
          <w:szCs w:val="28"/>
        </w:rPr>
        <w:t>obrazovanja</w:t>
      </w:r>
      <w:proofErr w:type="spellEnd"/>
    </w:p>
    <w:p w14:paraId="3230BE23" w14:textId="77777777" w:rsidR="00C3562C" w:rsidRDefault="00C3562C" w:rsidP="00F05400">
      <w:pPr>
        <w:spacing w:line="276" w:lineRule="auto"/>
        <w:jc w:val="both"/>
        <w:outlineLvl w:val="0"/>
        <w:rPr>
          <w:sz w:val="22"/>
        </w:rPr>
      </w:pPr>
    </w:p>
    <w:p w14:paraId="4FFF67DE" w14:textId="0AC1F3C4" w:rsidR="00A81258" w:rsidRPr="00A81258" w:rsidRDefault="00C3562C" w:rsidP="00A81258">
      <w:pPr>
        <w:spacing w:line="276" w:lineRule="auto"/>
        <w:jc w:val="both"/>
        <w:outlineLvl w:val="0"/>
        <w:rPr>
          <w:rFonts w:asciiTheme="minorHAnsi" w:hAnsiTheme="minorHAnsi" w:cstheme="minorHAnsi"/>
          <w:color w:val="333333"/>
          <w:sz w:val="22"/>
          <w:szCs w:val="21"/>
          <w:lang w:val="sr-Latn-RS"/>
        </w:rPr>
      </w:pPr>
      <w:proofErr w:type="spellStart"/>
      <w:r w:rsidRPr="00A81258">
        <w:rPr>
          <w:rFonts w:asciiTheme="minorHAnsi" w:eastAsia="Calibri" w:hAnsiTheme="minorHAnsi" w:cstheme="minorHAnsi"/>
          <w:b/>
          <w:i/>
          <w:sz w:val="22"/>
          <w:szCs w:val="22"/>
        </w:rPr>
        <w:t>P</w:t>
      </w:r>
      <w:r w:rsidR="00F05400" w:rsidRPr="00A81258">
        <w:rPr>
          <w:rFonts w:asciiTheme="minorHAnsi" w:eastAsia="Calibri" w:hAnsiTheme="minorHAnsi" w:cstheme="minorHAnsi"/>
          <w:b/>
          <w:i/>
          <w:sz w:val="22"/>
          <w:szCs w:val="22"/>
        </w:rPr>
        <w:t>redškolsko</w:t>
      </w:r>
      <w:proofErr w:type="spellEnd"/>
      <w:r w:rsidR="00F05400" w:rsidRPr="00A81258">
        <w:rPr>
          <w:rFonts w:asciiTheme="minorHAnsi" w:hAnsiTheme="minorHAnsi" w:cstheme="minorHAnsi"/>
          <w:b/>
          <w:i/>
          <w:sz w:val="22"/>
          <w:szCs w:val="22"/>
        </w:rPr>
        <w:t xml:space="preserve"> </w:t>
      </w:r>
      <w:proofErr w:type="spellStart"/>
      <w:r w:rsidR="009A621A" w:rsidRPr="00A81258">
        <w:rPr>
          <w:rFonts w:asciiTheme="minorHAnsi" w:eastAsia="Calibri" w:hAnsiTheme="minorHAnsi" w:cstheme="minorHAnsi"/>
          <w:b/>
          <w:i/>
          <w:sz w:val="22"/>
          <w:szCs w:val="22"/>
        </w:rPr>
        <w:t>vaspitanje</w:t>
      </w:r>
      <w:proofErr w:type="spellEnd"/>
      <w:r w:rsidR="009A621A" w:rsidRPr="00A81258">
        <w:rPr>
          <w:rFonts w:asciiTheme="minorHAnsi" w:eastAsia="Calibri" w:hAnsiTheme="minorHAnsi" w:cstheme="minorHAnsi"/>
          <w:b/>
          <w:i/>
          <w:sz w:val="22"/>
          <w:szCs w:val="22"/>
        </w:rPr>
        <w:t xml:space="preserve"> </w:t>
      </w:r>
      <w:proofErr w:type="spellStart"/>
      <w:r w:rsidR="009A621A" w:rsidRPr="00A81258">
        <w:rPr>
          <w:rFonts w:asciiTheme="minorHAnsi" w:eastAsia="Calibri" w:hAnsiTheme="minorHAnsi" w:cstheme="minorHAnsi"/>
          <w:b/>
          <w:i/>
          <w:sz w:val="22"/>
          <w:szCs w:val="22"/>
        </w:rPr>
        <w:t>i</w:t>
      </w:r>
      <w:proofErr w:type="spellEnd"/>
      <w:r w:rsidR="009A621A" w:rsidRPr="00A81258">
        <w:rPr>
          <w:rFonts w:asciiTheme="minorHAnsi" w:eastAsia="Calibri" w:hAnsiTheme="minorHAnsi" w:cstheme="minorHAnsi"/>
          <w:b/>
          <w:i/>
          <w:sz w:val="22"/>
          <w:szCs w:val="22"/>
        </w:rPr>
        <w:t xml:space="preserve"> </w:t>
      </w:r>
      <w:proofErr w:type="spellStart"/>
      <w:r w:rsidR="009A621A" w:rsidRPr="00A81258">
        <w:rPr>
          <w:rFonts w:asciiTheme="minorHAnsi" w:eastAsia="Calibri" w:hAnsiTheme="minorHAnsi" w:cstheme="minorHAnsi"/>
          <w:b/>
          <w:i/>
          <w:sz w:val="22"/>
          <w:szCs w:val="22"/>
        </w:rPr>
        <w:t>obrazovanje</w:t>
      </w:r>
      <w:proofErr w:type="spellEnd"/>
      <w:r w:rsidR="009A621A" w:rsidRPr="00A81258">
        <w:rPr>
          <w:rFonts w:asciiTheme="minorHAnsi" w:eastAsia="Calibri" w:hAnsiTheme="minorHAnsi" w:cstheme="minorHAnsi"/>
          <w:b/>
          <w:i/>
          <w:sz w:val="22"/>
          <w:szCs w:val="22"/>
        </w:rPr>
        <w:t xml:space="preserve"> (PVO)</w:t>
      </w:r>
      <w:r w:rsidRPr="00A81258">
        <w:rPr>
          <w:rFonts w:asciiTheme="minorHAnsi" w:eastAsia="Calibri" w:hAnsiTheme="minorHAnsi" w:cstheme="minorHAnsi"/>
          <w:b/>
          <w:i/>
          <w:sz w:val="22"/>
          <w:szCs w:val="22"/>
        </w:rPr>
        <w:t xml:space="preserve"> je </w:t>
      </w:r>
      <w:proofErr w:type="spellStart"/>
      <w:r w:rsidRPr="00A81258">
        <w:rPr>
          <w:rFonts w:asciiTheme="minorHAnsi" w:eastAsia="Calibri" w:hAnsiTheme="minorHAnsi" w:cstheme="minorHAnsi"/>
          <w:b/>
          <w:i/>
          <w:sz w:val="22"/>
          <w:szCs w:val="22"/>
        </w:rPr>
        <w:t>dominantno</w:t>
      </w:r>
      <w:proofErr w:type="spellEnd"/>
      <w:r w:rsidRPr="00A81258">
        <w:rPr>
          <w:rFonts w:asciiTheme="minorHAnsi" w:eastAsia="Calibri" w:hAnsiTheme="minorHAnsi" w:cstheme="minorHAnsi"/>
          <w:b/>
          <w:i/>
          <w:sz w:val="22"/>
          <w:szCs w:val="22"/>
        </w:rPr>
        <w:t xml:space="preserve"> u </w:t>
      </w:r>
      <w:proofErr w:type="spellStart"/>
      <w:r w:rsidRPr="00A81258">
        <w:rPr>
          <w:rFonts w:asciiTheme="minorHAnsi" w:eastAsia="Calibri" w:hAnsiTheme="minorHAnsi" w:cstheme="minorHAnsi"/>
          <w:b/>
          <w:i/>
          <w:sz w:val="22"/>
          <w:szCs w:val="22"/>
        </w:rPr>
        <w:t>mandatu</w:t>
      </w:r>
      <w:proofErr w:type="spellEnd"/>
      <w:r w:rsidRPr="00A81258">
        <w:rPr>
          <w:rFonts w:asciiTheme="minorHAnsi" w:eastAsia="Calibri" w:hAnsiTheme="minorHAnsi" w:cstheme="minorHAnsi"/>
          <w:b/>
          <w:i/>
          <w:sz w:val="22"/>
          <w:szCs w:val="22"/>
        </w:rPr>
        <w:t xml:space="preserve"> </w:t>
      </w:r>
      <w:proofErr w:type="spellStart"/>
      <w:r w:rsidR="002911DE" w:rsidRPr="00A81258">
        <w:rPr>
          <w:rFonts w:asciiTheme="minorHAnsi" w:eastAsia="Calibri" w:hAnsiTheme="minorHAnsi" w:cstheme="minorHAnsi"/>
          <w:b/>
          <w:i/>
          <w:sz w:val="22"/>
          <w:szCs w:val="22"/>
        </w:rPr>
        <w:t>jedinica</w:t>
      </w:r>
      <w:proofErr w:type="spellEnd"/>
      <w:r w:rsidR="002911DE" w:rsidRPr="00A81258">
        <w:rPr>
          <w:rFonts w:asciiTheme="minorHAnsi" w:eastAsia="Calibri" w:hAnsiTheme="minorHAnsi" w:cstheme="minorHAnsi"/>
          <w:b/>
          <w:i/>
          <w:sz w:val="22"/>
          <w:szCs w:val="22"/>
        </w:rPr>
        <w:t xml:space="preserve"> </w:t>
      </w:r>
      <w:proofErr w:type="spellStart"/>
      <w:r w:rsidR="002911DE" w:rsidRPr="00A81258">
        <w:rPr>
          <w:rFonts w:asciiTheme="minorHAnsi" w:eastAsia="Calibri" w:hAnsiTheme="minorHAnsi" w:cstheme="minorHAnsi"/>
          <w:b/>
          <w:i/>
          <w:sz w:val="22"/>
          <w:szCs w:val="22"/>
        </w:rPr>
        <w:t>lokalne</w:t>
      </w:r>
      <w:proofErr w:type="spellEnd"/>
      <w:r w:rsidR="002911DE" w:rsidRPr="00A81258">
        <w:rPr>
          <w:rFonts w:asciiTheme="minorHAnsi" w:eastAsia="Calibri" w:hAnsiTheme="minorHAnsi" w:cstheme="minorHAnsi"/>
          <w:b/>
          <w:i/>
          <w:sz w:val="22"/>
          <w:szCs w:val="22"/>
        </w:rPr>
        <w:t xml:space="preserve"> </w:t>
      </w:r>
      <w:proofErr w:type="spellStart"/>
      <w:r w:rsidR="002911DE" w:rsidRPr="00A81258">
        <w:rPr>
          <w:rFonts w:asciiTheme="minorHAnsi" w:eastAsia="Calibri" w:hAnsiTheme="minorHAnsi" w:cstheme="minorHAnsi"/>
          <w:b/>
          <w:i/>
          <w:sz w:val="22"/>
          <w:szCs w:val="22"/>
        </w:rPr>
        <w:t>samouprave</w:t>
      </w:r>
      <w:proofErr w:type="spellEnd"/>
      <w:r w:rsidR="002911DE" w:rsidRPr="00A81258">
        <w:rPr>
          <w:rFonts w:asciiTheme="minorHAnsi" w:eastAsia="Calibri" w:hAnsiTheme="minorHAnsi" w:cstheme="minorHAnsi"/>
          <w:b/>
          <w:i/>
          <w:sz w:val="22"/>
          <w:szCs w:val="22"/>
        </w:rPr>
        <w:t xml:space="preserve"> (</w:t>
      </w:r>
      <w:r w:rsidRPr="00A81258">
        <w:rPr>
          <w:rFonts w:asciiTheme="minorHAnsi" w:eastAsia="Calibri" w:hAnsiTheme="minorHAnsi" w:cstheme="minorHAnsi"/>
          <w:b/>
          <w:i/>
          <w:sz w:val="22"/>
          <w:szCs w:val="22"/>
        </w:rPr>
        <w:t>JLS</w:t>
      </w:r>
      <w:r w:rsidR="002911DE" w:rsidRPr="00A81258">
        <w:rPr>
          <w:rFonts w:asciiTheme="minorHAnsi" w:eastAsia="Calibri" w:hAnsiTheme="minorHAnsi" w:cstheme="minorHAnsi"/>
          <w:b/>
          <w:i/>
          <w:sz w:val="22"/>
          <w:szCs w:val="22"/>
        </w:rPr>
        <w:t>)</w:t>
      </w:r>
      <w:r w:rsidR="00F05400" w:rsidRPr="00A81258">
        <w:rPr>
          <w:rFonts w:asciiTheme="minorHAnsi" w:hAnsiTheme="minorHAnsi" w:cstheme="minorHAnsi"/>
          <w:b/>
          <w:i/>
          <w:sz w:val="22"/>
          <w:szCs w:val="22"/>
        </w:rPr>
        <w:t xml:space="preserve"> </w:t>
      </w:r>
      <w:proofErr w:type="spellStart"/>
      <w:r w:rsidR="00F05400" w:rsidRPr="00A81258">
        <w:rPr>
          <w:rFonts w:asciiTheme="minorHAnsi" w:eastAsia="Calibri" w:hAnsiTheme="minorHAnsi" w:cstheme="minorHAnsi"/>
          <w:b/>
          <w:i/>
          <w:sz w:val="22"/>
          <w:szCs w:val="22"/>
        </w:rPr>
        <w:t>dok</w:t>
      </w:r>
      <w:proofErr w:type="spellEnd"/>
      <w:r w:rsidR="00F05400" w:rsidRPr="00A81258">
        <w:rPr>
          <w:rFonts w:asciiTheme="minorHAnsi" w:hAnsiTheme="minorHAnsi" w:cstheme="minorHAnsi"/>
          <w:b/>
          <w:i/>
          <w:sz w:val="22"/>
          <w:szCs w:val="22"/>
        </w:rPr>
        <w:t xml:space="preserve"> </w:t>
      </w:r>
      <w:r w:rsidR="002A5868" w:rsidRPr="00A81258">
        <w:rPr>
          <w:rFonts w:asciiTheme="minorHAnsi" w:hAnsiTheme="minorHAnsi" w:cstheme="minorHAnsi"/>
          <w:b/>
          <w:i/>
          <w:sz w:val="22"/>
          <w:szCs w:val="22"/>
        </w:rPr>
        <w:t xml:space="preserve">za </w:t>
      </w:r>
      <w:proofErr w:type="spellStart"/>
      <w:r w:rsidR="00F05400" w:rsidRPr="00A81258">
        <w:rPr>
          <w:rFonts w:asciiTheme="minorHAnsi" w:eastAsia="Calibri" w:hAnsiTheme="minorHAnsi" w:cstheme="minorHAnsi"/>
          <w:b/>
          <w:i/>
          <w:sz w:val="22"/>
          <w:szCs w:val="22"/>
        </w:rPr>
        <w:t>osnovno</w:t>
      </w:r>
      <w:proofErr w:type="spellEnd"/>
      <w:r w:rsidR="00F05400" w:rsidRPr="00A81258">
        <w:rPr>
          <w:rFonts w:asciiTheme="minorHAnsi" w:hAnsiTheme="minorHAnsi" w:cstheme="minorHAnsi"/>
          <w:b/>
          <w:i/>
          <w:sz w:val="22"/>
          <w:szCs w:val="22"/>
        </w:rPr>
        <w:t xml:space="preserve"> </w:t>
      </w:r>
      <w:proofErr w:type="spellStart"/>
      <w:r w:rsidR="00F05400" w:rsidRPr="00A81258">
        <w:rPr>
          <w:rFonts w:asciiTheme="minorHAnsi" w:eastAsia="Calibri" w:hAnsiTheme="minorHAnsi" w:cstheme="minorHAnsi"/>
          <w:b/>
          <w:i/>
          <w:sz w:val="22"/>
          <w:szCs w:val="22"/>
        </w:rPr>
        <w:t>i</w:t>
      </w:r>
      <w:proofErr w:type="spellEnd"/>
      <w:r w:rsidR="00F05400" w:rsidRPr="00A81258">
        <w:rPr>
          <w:rFonts w:asciiTheme="minorHAnsi" w:hAnsiTheme="minorHAnsi" w:cstheme="minorHAnsi"/>
          <w:b/>
          <w:i/>
          <w:sz w:val="22"/>
          <w:szCs w:val="22"/>
        </w:rPr>
        <w:t xml:space="preserve"> </w:t>
      </w:r>
      <w:proofErr w:type="spellStart"/>
      <w:r w:rsidR="00F05400" w:rsidRPr="00A81258">
        <w:rPr>
          <w:rFonts w:asciiTheme="minorHAnsi" w:eastAsia="Calibri" w:hAnsiTheme="minorHAnsi" w:cstheme="minorHAnsi"/>
          <w:b/>
          <w:i/>
          <w:sz w:val="22"/>
          <w:szCs w:val="22"/>
        </w:rPr>
        <w:t>srednje</w:t>
      </w:r>
      <w:proofErr w:type="spellEnd"/>
      <w:r w:rsidR="00F05400" w:rsidRPr="00A81258">
        <w:rPr>
          <w:rFonts w:asciiTheme="minorHAnsi" w:hAnsiTheme="minorHAnsi" w:cstheme="minorHAnsi"/>
          <w:b/>
          <w:i/>
          <w:sz w:val="22"/>
          <w:szCs w:val="22"/>
        </w:rPr>
        <w:t xml:space="preserve"> </w:t>
      </w:r>
      <w:proofErr w:type="spellStart"/>
      <w:r w:rsidR="00F05400" w:rsidRPr="00A81258">
        <w:rPr>
          <w:rFonts w:asciiTheme="minorHAnsi" w:eastAsia="Calibri" w:hAnsiTheme="minorHAnsi" w:cstheme="minorHAnsi"/>
          <w:b/>
          <w:i/>
          <w:sz w:val="22"/>
          <w:szCs w:val="22"/>
        </w:rPr>
        <w:t>obrazovanje</w:t>
      </w:r>
      <w:proofErr w:type="spellEnd"/>
      <w:r w:rsidR="00F05400" w:rsidRPr="00A81258">
        <w:rPr>
          <w:rFonts w:asciiTheme="minorHAnsi" w:hAnsiTheme="minorHAnsi" w:cstheme="minorHAnsi"/>
          <w:b/>
          <w:i/>
          <w:sz w:val="22"/>
          <w:szCs w:val="22"/>
        </w:rPr>
        <w:t xml:space="preserve"> </w:t>
      </w:r>
      <w:r w:rsidR="00F05400" w:rsidRPr="00A81258">
        <w:rPr>
          <w:rFonts w:asciiTheme="minorHAnsi" w:eastAsia="Calibri" w:hAnsiTheme="minorHAnsi" w:cstheme="minorHAnsi"/>
          <w:b/>
          <w:i/>
          <w:sz w:val="22"/>
          <w:szCs w:val="22"/>
        </w:rPr>
        <w:t>JLS</w:t>
      </w:r>
      <w:r w:rsidR="00F05400" w:rsidRPr="00A81258">
        <w:rPr>
          <w:rFonts w:asciiTheme="minorHAnsi" w:hAnsiTheme="minorHAnsi" w:cstheme="minorHAnsi"/>
          <w:b/>
          <w:i/>
          <w:sz w:val="22"/>
          <w:szCs w:val="22"/>
        </w:rPr>
        <w:t xml:space="preserve"> </w:t>
      </w:r>
      <w:proofErr w:type="spellStart"/>
      <w:r w:rsidR="00F05400" w:rsidRPr="00A81258">
        <w:rPr>
          <w:rFonts w:asciiTheme="minorHAnsi" w:eastAsia="Calibri" w:hAnsiTheme="minorHAnsi" w:cstheme="minorHAnsi"/>
          <w:b/>
          <w:i/>
          <w:sz w:val="22"/>
          <w:szCs w:val="22"/>
        </w:rPr>
        <w:t>finansira</w:t>
      </w:r>
      <w:proofErr w:type="spellEnd"/>
      <w:r w:rsidR="00480DA3" w:rsidRPr="00A81258">
        <w:rPr>
          <w:rFonts w:asciiTheme="minorHAnsi" w:eastAsia="Calibri" w:hAnsiTheme="minorHAnsi" w:cstheme="minorHAnsi"/>
          <w:b/>
          <w:i/>
          <w:sz w:val="22"/>
          <w:szCs w:val="22"/>
        </w:rPr>
        <w:t xml:space="preserve"> </w:t>
      </w:r>
      <w:proofErr w:type="spellStart"/>
      <w:r w:rsidR="00F05400" w:rsidRPr="00A81258">
        <w:rPr>
          <w:rFonts w:asciiTheme="minorHAnsi" w:eastAsia="Calibri" w:hAnsiTheme="minorHAnsi" w:cstheme="minorHAnsi"/>
          <w:b/>
          <w:i/>
          <w:sz w:val="22"/>
          <w:szCs w:val="22"/>
        </w:rPr>
        <w:t>tekuće</w:t>
      </w:r>
      <w:proofErr w:type="spellEnd"/>
      <w:r w:rsidR="00F05400" w:rsidRPr="00A81258">
        <w:rPr>
          <w:rFonts w:asciiTheme="minorHAnsi" w:hAnsiTheme="minorHAnsi" w:cstheme="minorHAnsi"/>
          <w:b/>
          <w:i/>
          <w:sz w:val="22"/>
          <w:szCs w:val="22"/>
        </w:rPr>
        <w:t xml:space="preserve"> </w:t>
      </w:r>
      <w:proofErr w:type="spellStart"/>
      <w:r w:rsidR="00F05400" w:rsidRPr="00A81258">
        <w:rPr>
          <w:rFonts w:asciiTheme="minorHAnsi" w:eastAsia="Calibri" w:hAnsiTheme="minorHAnsi" w:cstheme="minorHAnsi"/>
          <w:b/>
          <w:i/>
          <w:sz w:val="22"/>
          <w:szCs w:val="22"/>
        </w:rPr>
        <w:t>održavanje</w:t>
      </w:r>
      <w:proofErr w:type="spellEnd"/>
      <w:r w:rsidR="00F05400" w:rsidRPr="00A81258">
        <w:rPr>
          <w:rFonts w:asciiTheme="minorHAnsi" w:hAnsiTheme="minorHAnsi" w:cstheme="minorHAnsi"/>
          <w:b/>
          <w:i/>
          <w:sz w:val="22"/>
          <w:szCs w:val="22"/>
        </w:rPr>
        <w:t xml:space="preserve"> </w:t>
      </w:r>
      <w:proofErr w:type="spellStart"/>
      <w:r w:rsidR="00F05400" w:rsidRPr="00A81258">
        <w:rPr>
          <w:rFonts w:asciiTheme="minorHAnsi" w:eastAsia="Calibri" w:hAnsiTheme="minorHAnsi" w:cstheme="minorHAnsi"/>
          <w:b/>
          <w:i/>
          <w:sz w:val="22"/>
          <w:szCs w:val="22"/>
        </w:rPr>
        <w:t>škola</w:t>
      </w:r>
      <w:proofErr w:type="spellEnd"/>
      <w:r w:rsidR="00CC4909" w:rsidRPr="00A81258">
        <w:rPr>
          <w:rStyle w:val="FootnoteReference"/>
          <w:rFonts w:asciiTheme="minorHAnsi" w:eastAsia="Calibri" w:hAnsiTheme="minorHAnsi" w:cstheme="minorHAnsi"/>
          <w:sz w:val="22"/>
          <w:szCs w:val="22"/>
        </w:rPr>
        <w:footnoteReference w:id="1"/>
      </w:r>
      <w:r w:rsidR="00F05400" w:rsidRPr="00A81258">
        <w:rPr>
          <w:rFonts w:asciiTheme="minorHAnsi" w:eastAsia="Calibri" w:hAnsiTheme="minorHAnsi" w:cstheme="minorHAnsi"/>
          <w:sz w:val="22"/>
          <w:szCs w:val="22"/>
        </w:rPr>
        <w:t xml:space="preserve">. </w:t>
      </w:r>
      <w:r w:rsidR="00A81258" w:rsidRPr="00A81258">
        <w:rPr>
          <w:rFonts w:asciiTheme="minorHAnsi" w:hAnsiTheme="minorHAnsi" w:cstheme="minorHAnsi"/>
          <w:color w:val="333333"/>
          <w:sz w:val="22"/>
          <w:szCs w:val="22"/>
        </w:rPr>
        <w:t xml:space="preserve">Za </w:t>
      </w:r>
      <w:proofErr w:type="spellStart"/>
      <w:r w:rsidR="00A81258" w:rsidRPr="00A81258">
        <w:rPr>
          <w:rFonts w:asciiTheme="minorHAnsi" w:hAnsiTheme="minorHAnsi" w:cstheme="minorHAnsi"/>
          <w:color w:val="333333"/>
          <w:sz w:val="22"/>
          <w:szCs w:val="22"/>
        </w:rPr>
        <w:t>sva</w:t>
      </w:r>
      <w:proofErr w:type="spellEnd"/>
      <w:r w:rsidR="00A81258" w:rsidRPr="00A81258">
        <w:rPr>
          <w:rFonts w:asciiTheme="minorHAnsi" w:hAnsiTheme="minorHAnsi" w:cstheme="minorHAnsi"/>
          <w:color w:val="333333"/>
          <w:sz w:val="22"/>
          <w:szCs w:val="22"/>
        </w:rPr>
        <w:t xml:space="preserve"> tri </w:t>
      </w:r>
      <w:proofErr w:type="spellStart"/>
      <w:r w:rsidR="00A81258" w:rsidRPr="00A81258">
        <w:rPr>
          <w:rFonts w:asciiTheme="minorHAnsi" w:hAnsiTheme="minorHAnsi" w:cstheme="minorHAnsi"/>
          <w:color w:val="333333"/>
          <w:sz w:val="22"/>
          <w:szCs w:val="22"/>
        </w:rPr>
        <w:t>nivoa</w:t>
      </w:r>
      <w:proofErr w:type="spellEnd"/>
      <w:r w:rsidR="00A81258" w:rsidRPr="00A81258">
        <w:rPr>
          <w:rFonts w:asciiTheme="minorHAnsi" w:hAnsiTheme="minorHAnsi" w:cstheme="minorHAnsi"/>
          <w:color w:val="333333"/>
          <w:sz w:val="22"/>
          <w:szCs w:val="22"/>
        </w:rPr>
        <w:t xml:space="preserve"> </w:t>
      </w:r>
      <w:proofErr w:type="spellStart"/>
      <w:r w:rsidR="00A81258" w:rsidRPr="00A81258">
        <w:rPr>
          <w:rFonts w:asciiTheme="minorHAnsi" w:hAnsiTheme="minorHAnsi" w:cstheme="minorHAnsi"/>
          <w:color w:val="333333"/>
          <w:sz w:val="22"/>
          <w:szCs w:val="22"/>
        </w:rPr>
        <w:t>obrazovanja</w:t>
      </w:r>
      <w:proofErr w:type="spellEnd"/>
      <w:r w:rsidR="00A81258" w:rsidRPr="00A81258">
        <w:rPr>
          <w:rFonts w:asciiTheme="minorHAnsi" w:hAnsiTheme="minorHAnsi" w:cstheme="minorHAnsi"/>
          <w:color w:val="333333"/>
          <w:sz w:val="22"/>
          <w:szCs w:val="22"/>
        </w:rPr>
        <w:t xml:space="preserve"> (</w:t>
      </w:r>
      <w:proofErr w:type="spellStart"/>
      <w:r w:rsidR="00A81258" w:rsidRPr="00A81258">
        <w:rPr>
          <w:rFonts w:asciiTheme="minorHAnsi" w:hAnsiTheme="minorHAnsi" w:cstheme="minorHAnsi"/>
          <w:color w:val="333333"/>
          <w:sz w:val="22"/>
          <w:szCs w:val="22"/>
        </w:rPr>
        <w:t>predškolsko</w:t>
      </w:r>
      <w:proofErr w:type="spellEnd"/>
      <w:r w:rsidR="00A81258" w:rsidRPr="00A81258">
        <w:rPr>
          <w:rFonts w:asciiTheme="minorHAnsi" w:hAnsiTheme="minorHAnsi" w:cstheme="minorHAnsi"/>
          <w:color w:val="333333"/>
          <w:sz w:val="22"/>
          <w:szCs w:val="22"/>
        </w:rPr>
        <w:t xml:space="preserve">, </w:t>
      </w:r>
      <w:proofErr w:type="spellStart"/>
      <w:r w:rsidR="00A81258" w:rsidRPr="00A81258">
        <w:rPr>
          <w:rFonts w:asciiTheme="minorHAnsi" w:hAnsiTheme="minorHAnsi" w:cstheme="minorHAnsi"/>
          <w:color w:val="333333"/>
          <w:sz w:val="22"/>
          <w:szCs w:val="22"/>
        </w:rPr>
        <w:t>osnovno</w:t>
      </w:r>
      <w:proofErr w:type="spellEnd"/>
      <w:r w:rsidR="00A81258" w:rsidRPr="00A81258">
        <w:rPr>
          <w:rFonts w:asciiTheme="minorHAnsi" w:hAnsiTheme="minorHAnsi" w:cstheme="minorHAnsi"/>
          <w:color w:val="333333"/>
          <w:sz w:val="22"/>
          <w:szCs w:val="22"/>
        </w:rPr>
        <w:t xml:space="preserve"> </w:t>
      </w:r>
      <w:proofErr w:type="spellStart"/>
      <w:r w:rsidR="00A81258" w:rsidRPr="00A81258">
        <w:rPr>
          <w:rFonts w:asciiTheme="minorHAnsi" w:hAnsiTheme="minorHAnsi" w:cstheme="minorHAnsi"/>
          <w:color w:val="333333"/>
          <w:sz w:val="22"/>
          <w:szCs w:val="22"/>
        </w:rPr>
        <w:t>i</w:t>
      </w:r>
      <w:proofErr w:type="spellEnd"/>
      <w:r w:rsidR="00A81258" w:rsidRPr="00A81258">
        <w:rPr>
          <w:rFonts w:asciiTheme="minorHAnsi" w:hAnsiTheme="minorHAnsi" w:cstheme="minorHAnsi"/>
          <w:color w:val="333333"/>
          <w:sz w:val="22"/>
          <w:szCs w:val="22"/>
        </w:rPr>
        <w:t xml:space="preserve"> </w:t>
      </w:r>
      <w:proofErr w:type="spellStart"/>
      <w:r w:rsidR="00A81258" w:rsidRPr="00A81258">
        <w:rPr>
          <w:rFonts w:asciiTheme="minorHAnsi" w:hAnsiTheme="minorHAnsi" w:cstheme="minorHAnsi"/>
          <w:color w:val="333333"/>
          <w:sz w:val="22"/>
          <w:szCs w:val="22"/>
        </w:rPr>
        <w:t>srednje</w:t>
      </w:r>
      <w:proofErr w:type="spellEnd"/>
      <w:r w:rsidR="00A81258" w:rsidRPr="00A81258">
        <w:rPr>
          <w:rFonts w:asciiTheme="minorHAnsi" w:hAnsiTheme="minorHAnsi" w:cstheme="minorHAnsi"/>
          <w:color w:val="333333"/>
          <w:sz w:val="22"/>
          <w:szCs w:val="22"/>
        </w:rPr>
        <w:t xml:space="preserve">) </w:t>
      </w:r>
      <w:proofErr w:type="spellStart"/>
      <w:r w:rsidR="00A81258" w:rsidRPr="00A81258">
        <w:rPr>
          <w:rFonts w:asciiTheme="minorHAnsi" w:hAnsiTheme="minorHAnsi" w:cstheme="minorHAnsi"/>
          <w:color w:val="333333"/>
          <w:sz w:val="22"/>
          <w:szCs w:val="22"/>
        </w:rPr>
        <w:t>lokalni</w:t>
      </w:r>
      <w:proofErr w:type="spellEnd"/>
      <w:r w:rsidR="00A81258" w:rsidRPr="00A81258">
        <w:rPr>
          <w:rFonts w:asciiTheme="minorHAnsi" w:hAnsiTheme="minorHAnsi" w:cstheme="minorHAnsi"/>
          <w:color w:val="333333"/>
          <w:sz w:val="22"/>
          <w:szCs w:val="22"/>
        </w:rPr>
        <w:t xml:space="preserve"> </w:t>
      </w:r>
      <w:proofErr w:type="spellStart"/>
      <w:r w:rsidR="00A81258" w:rsidRPr="00A81258">
        <w:rPr>
          <w:rFonts w:asciiTheme="minorHAnsi" w:hAnsiTheme="minorHAnsi" w:cstheme="minorHAnsi"/>
          <w:color w:val="333333"/>
          <w:sz w:val="22"/>
          <w:szCs w:val="22"/>
        </w:rPr>
        <w:t>nivo</w:t>
      </w:r>
      <w:proofErr w:type="spellEnd"/>
      <w:r w:rsidR="00A81258" w:rsidRPr="00A81258">
        <w:rPr>
          <w:rFonts w:asciiTheme="minorHAnsi" w:hAnsiTheme="minorHAnsi" w:cstheme="minorHAnsi"/>
          <w:color w:val="333333"/>
          <w:sz w:val="22"/>
          <w:szCs w:val="22"/>
        </w:rPr>
        <w:t xml:space="preserve"> </w:t>
      </w:r>
      <w:proofErr w:type="spellStart"/>
      <w:r w:rsidR="00A81258" w:rsidRPr="00A81258">
        <w:rPr>
          <w:rFonts w:asciiTheme="minorHAnsi" w:hAnsiTheme="minorHAnsi" w:cstheme="minorHAnsi"/>
          <w:color w:val="333333"/>
          <w:sz w:val="22"/>
          <w:szCs w:val="22"/>
        </w:rPr>
        <w:t>finansira</w:t>
      </w:r>
      <w:proofErr w:type="spellEnd"/>
      <w:r w:rsidR="00A81258" w:rsidRPr="00A81258">
        <w:rPr>
          <w:rFonts w:asciiTheme="minorHAnsi" w:hAnsiTheme="minorHAnsi" w:cstheme="minorHAnsi"/>
          <w:color w:val="333333"/>
          <w:sz w:val="22"/>
          <w:szCs w:val="22"/>
        </w:rPr>
        <w:t xml:space="preserve"> </w:t>
      </w:r>
      <w:proofErr w:type="spellStart"/>
      <w:r w:rsidR="00A81258" w:rsidRPr="00A81258">
        <w:rPr>
          <w:rFonts w:asciiTheme="minorHAnsi" w:hAnsiTheme="minorHAnsi" w:cstheme="minorHAnsi"/>
          <w:color w:val="333333"/>
          <w:sz w:val="22"/>
          <w:szCs w:val="22"/>
        </w:rPr>
        <w:t>stručno</w:t>
      </w:r>
      <w:proofErr w:type="spellEnd"/>
      <w:r w:rsidR="00A81258" w:rsidRPr="00A81258">
        <w:rPr>
          <w:rFonts w:asciiTheme="minorHAnsi" w:hAnsiTheme="minorHAnsi" w:cstheme="minorHAnsi"/>
          <w:color w:val="333333"/>
          <w:sz w:val="22"/>
          <w:szCs w:val="22"/>
        </w:rPr>
        <w:t xml:space="preserve"> </w:t>
      </w:r>
      <w:proofErr w:type="spellStart"/>
      <w:r w:rsidR="00A81258" w:rsidRPr="00A81258">
        <w:rPr>
          <w:rFonts w:asciiTheme="minorHAnsi" w:hAnsiTheme="minorHAnsi" w:cstheme="minorHAnsi"/>
          <w:color w:val="333333"/>
          <w:sz w:val="22"/>
          <w:szCs w:val="22"/>
        </w:rPr>
        <w:t>usavršavanje</w:t>
      </w:r>
      <w:proofErr w:type="spellEnd"/>
      <w:r w:rsidR="00A81258" w:rsidRPr="00A81258">
        <w:rPr>
          <w:rFonts w:asciiTheme="minorHAnsi" w:hAnsiTheme="minorHAnsi" w:cstheme="minorHAnsi"/>
          <w:color w:val="333333"/>
          <w:sz w:val="22"/>
          <w:szCs w:val="22"/>
        </w:rPr>
        <w:t xml:space="preserve"> </w:t>
      </w:r>
      <w:proofErr w:type="spellStart"/>
      <w:r w:rsidR="00A81258" w:rsidRPr="00A81258">
        <w:rPr>
          <w:rFonts w:asciiTheme="minorHAnsi" w:hAnsiTheme="minorHAnsi" w:cstheme="minorHAnsi"/>
          <w:color w:val="333333"/>
          <w:sz w:val="22"/>
          <w:szCs w:val="22"/>
        </w:rPr>
        <w:t>zaposlenih</w:t>
      </w:r>
      <w:proofErr w:type="spellEnd"/>
      <w:r w:rsidR="00A81258" w:rsidRPr="00A81258">
        <w:rPr>
          <w:rFonts w:asciiTheme="minorHAnsi" w:hAnsiTheme="minorHAnsi" w:cstheme="minorHAnsi"/>
          <w:color w:val="333333"/>
          <w:sz w:val="22"/>
          <w:szCs w:val="22"/>
        </w:rPr>
        <w:t>, </w:t>
      </w:r>
      <w:proofErr w:type="spellStart"/>
      <w:r w:rsidR="00A81258" w:rsidRPr="00A81258">
        <w:rPr>
          <w:rFonts w:asciiTheme="minorHAnsi" w:hAnsiTheme="minorHAnsi" w:cstheme="minorHAnsi"/>
          <w:color w:val="333333"/>
          <w:sz w:val="22"/>
          <w:szCs w:val="22"/>
        </w:rPr>
        <w:t>jubilarne</w:t>
      </w:r>
      <w:proofErr w:type="spellEnd"/>
      <w:r w:rsidR="00A81258" w:rsidRPr="00A81258">
        <w:rPr>
          <w:rFonts w:asciiTheme="minorHAnsi" w:hAnsiTheme="minorHAnsi" w:cstheme="minorHAnsi"/>
          <w:color w:val="333333"/>
          <w:sz w:val="22"/>
          <w:szCs w:val="22"/>
        </w:rPr>
        <w:t xml:space="preserve"> </w:t>
      </w:r>
      <w:proofErr w:type="spellStart"/>
      <w:r w:rsidR="00A81258" w:rsidRPr="00A81258">
        <w:rPr>
          <w:rFonts w:asciiTheme="minorHAnsi" w:hAnsiTheme="minorHAnsi" w:cstheme="minorHAnsi"/>
          <w:color w:val="333333"/>
          <w:sz w:val="22"/>
          <w:szCs w:val="22"/>
        </w:rPr>
        <w:t>nagrade</w:t>
      </w:r>
      <w:proofErr w:type="spellEnd"/>
      <w:r w:rsidR="00A81258" w:rsidRPr="00A81258">
        <w:rPr>
          <w:rFonts w:asciiTheme="minorHAnsi" w:hAnsiTheme="minorHAnsi" w:cstheme="minorHAnsi"/>
          <w:color w:val="333333"/>
          <w:sz w:val="22"/>
          <w:szCs w:val="22"/>
        </w:rPr>
        <w:t xml:space="preserve">, </w:t>
      </w:r>
      <w:proofErr w:type="spellStart"/>
      <w:r w:rsidR="00A81258" w:rsidRPr="00A81258">
        <w:rPr>
          <w:rFonts w:asciiTheme="minorHAnsi" w:hAnsiTheme="minorHAnsi" w:cstheme="minorHAnsi"/>
          <w:color w:val="333333"/>
          <w:sz w:val="22"/>
          <w:szCs w:val="22"/>
        </w:rPr>
        <w:t>prevoz</w:t>
      </w:r>
      <w:proofErr w:type="spellEnd"/>
      <w:r w:rsidR="00A81258" w:rsidRPr="00A81258">
        <w:rPr>
          <w:rFonts w:asciiTheme="minorHAnsi" w:hAnsiTheme="minorHAnsi" w:cstheme="minorHAnsi"/>
          <w:color w:val="333333"/>
          <w:sz w:val="22"/>
          <w:szCs w:val="22"/>
        </w:rPr>
        <w:t xml:space="preserve"> </w:t>
      </w:r>
      <w:proofErr w:type="spellStart"/>
      <w:r w:rsidR="00A81258" w:rsidRPr="00A81258">
        <w:rPr>
          <w:rFonts w:asciiTheme="minorHAnsi" w:hAnsiTheme="minorHAnsi" w:cstheme="minorHAnsi"/>
          <w:color w:val="333333"/>
          <w:sz w:val="22"/>
          <w:szCs w:val="22"/>
        </w:rPr>
        <w:t>zaposlenih</w:t>
      </w:r>
      <w:proofErr w:type="spellEnd"/>
      <w:r w:rsidR="00A81258" w:rsidRPr="00A81258">
        <w:rPr>
          <w:rFonts w:asciiTheme="minorHAnsi" w:hAnsiTheme="minorHAnsi" w:cstheme="minorHAnsi"/>
          <w:color w:val="333333"/>
          <w:sz w:val="22"/>
          <w:szCs w:val="22"/>
        </w:rPr>
        <w:t xml:space="preserve">; </w:t>
      </w:r>
      <w:proofErr w:type="spellStart"/>
      <w:r w:rsidR="00A81258" w:rsidRPr="00A81258">
        <w:rPr>
          <w:rFonts w:asciiTheme="minorHAnsi" w:hAnsiTheme="minorHAnsi" w:cstheme="minorHAnsi"/>
          <w:color w:val="333333"/>
          <w:sz w:val="22"/>
          <w:szCs w:val="22"/>
        </w:rPr>
        <w:t>zatim</w:t>
      </w:r>
      <w:proofErr w:type="spellEnd"/>
      <w:r w:rsidR="00A81258" w:rsidRPr="00A81258">
        <w:rPr>
          <w:rFonts w:asciiTheme="minorHAnsi" w:hAnsiTheme="minorHAnsi" w:cstheme="minorHAnsi"/>
          <w:color w:val="333333"/>
          <w:sz w:val="22"/>
          <w:szCs w:val="22"/>
        </w:rPr>
        <w:t xml:space="preserve"> </w:t>
      </w:r>
      <w:proofErr w:type="spellStart"/>
      <w:r w:rsidR="00A81258" w:rsidRPr="00A81258">
        <w:rPr>
          <w:rFonts w:asciiTheme="minorHAnsi" w:hAnsiTheme="minorHAnsi" w:cstheme="minorHAnsi"/>
          <w:color w:val="333333"/>
          <w:sz w:val="22"/>
          <w:szCs w:val="22"/>
        </w:rPr>
        <w:t>prevoz</w:t>
      </w:r>
      <w:proofErr w:type="spellEnd"/>
      <w:r w:rsidR="00A81258" w:rsidRPr="00A81258">
        <w:rPr>
          <w:rFonts w:asciiTheme="minorHAnsi" w:hAnsiTheme="minorHAnsi" w:cstheme="minorHAnsi"/>
          <w:color w:val="333333"/>
          <w:sz w:val="22"/>
          <w:szCs w:val="22"/>
        </w:rPr>
        <w:t xml:space="preserve"> </w:t>
      </w:r>
      <w:proofErr w:type="spellStart"/>
      <w:r w:rsidR="00A81258" w:rsidRPr="00A81258">
        <w:rPr>
          <w:rFonts w:asciiTheme="minorHAnsi" w:hAnsiTheme="minorHAnsi" w:cstheme="minorHAnsi"/>
          <w:color w:val="333333"/>
          <w:sz w:val="22"/>
          <w:szCs w:val="22"/>
        </w:rPr>
        <w:t>dece</w:t>
      </w:r>
      <w:proofErr w:type="spellEnd"/>
      <w:r w:rsidR="00A81258" w:rsidRPr="00A81258">
        <w:rPr>
          <w:rFonts w:asciiTheme="minorHAnsi" w:hAnsiTheme="minorHAnsi" w:cstheme="minorHAnsi"/>
          <w:color w:val="333333"/>
          <w:sz w:val="22"/>
          <w:szCs w:val="22"/>
        </w:rPr>
        <w:t xml:space="preserve"> </w:t>
      </w:r>
      <w:proofErr w:type="spellStart"/>
      <w:r w:rsidR="00A81258" w:rsidRPr="00A81258">
        <w:rPr>
          <w:rFonts w:asciiTheme="minorHAnsi" w:hAnsiTheme="minorHAnsi" w:cstheme="minorHAnsi"/>
          <w:color w:val="333333"/>
          <w:sz w:val="22"/>
          <w:szCs w:val="22"/>
        </w:rPr>
        <w:t>i</w:t>
      </w:r>
      <w:proofErr w:type="spellEnd"/>
      <w:r w:rsidR="00A81258" w:rsidRPr="00A81258">
        <w:rPr>
          <w:rFonts w:asciiTheme="minorHAnsi" w:hAnsiTheme="minorHAnsi" w:cstheme="minorHAnsi"/>
          <w:color w:val="333333"/>
          <w:sz w:val="22"/>
          <w:szCs w:val="22"/>
        </w:rPr>
        <w:t xml:space="preserve"> </w:t>
      </w:r>
      <w:proofErr w:type="spellStart"/>
      <w:r w:rsidR="00A81258" w:rsidRPr="00A81258">
        <w:rPr>
          <w:rFonts w:asciiTheme="minorHAnsi" w:hAnsiTheme="minorHAnsi" w:cstheme="minorHAnsi"/>
          <w:color w:val="333333"/>
          <w:sz w:val="22"/>
          <w:szCs w:val="22"/>
        </w:rPr>
        <w:t>njihovih</w:t>
      </w:r>
      <w:proofErr w:type="spellEnd"/>
      <w:r w:rsidR="00A81258" w:rsidRPr="00A81258">
        <w:rPr>
          <w:rFonts w:asciiTheme="minorHAnsi" w:hAnsiTheme="minorHAnsi" w:cstheme="minorHAnsi"/>
          <w:color w:val="333333"/>
          <w:sz w:val="22"/>
          <w:szCs w:val="22"/>
        </w:rPr>
        <w:t xml:space="preserve"> </w:t>
      </w:r>
      <w:proofErr w:type="spellStart"/>
      <w:r w:rsidR="00A81258" w:rsidRPr="00A81258">
        <w:rPr>
          <w:rFonts w:asciiTheme="minorHAnsi" w:hAnsiTheme="minorHAnsi" w:cstheme="minorHAnsi"/>
          <w:color w:val="333333"/>
          <w:sz w:val="22"/>
          <w:szCs w:val="22"/>
        </w:rPr>
        <w:t>pratilaca</w:t>
      </w:r>
      <w:proofErr w:type="spellEnd"/>
      <w:r w:rsidR="00A81258" w:rsidRPr="00A81258">
        <w:rPr>
          <w:rFonts w:asciiTheme="minorHAnsi" w:hAnsiTheme="minorHAnsi" w:cstheme="minorHAnsi"/>
          <w:color w:val="333333"/>
          <w:sz w:val="22"/>
          <w:szCs w:val="22"/>
        </w:rPr>
        <w:t xml:space="preserve"> </w:t>
      </w:r>
      <w:proofErr w:type="spellStart"/>
      <w:r w:rsidR="00A81258" w:rsidRPr="00A81258">
        <w:rPr>
          <w:rFonts w:asciiTheme="minorHAnsi" w:hAnsiTheme="minorHAnsi" w:cstheme="minorHAnsi"/>
          <w:color w:val="333333"/>
          <w:sz w:val="22"/>
          <w:szCs w:val="22"/>
        </w:rPr>
        <w:t>radi</w:t>
      </w:r>
      <w:proofErr w:type="spellEnd"/>
      <w:r w:rsidR="00A81258" w:rsidRPr="00A81258">
        <w:rPr>
          <w:rFonts w:asciiTheme="minorHAnsi" w:hAnsiTheme="minorHAnsi" w:cstheme="minorHAnsi"/>
          <w:color w:val="333333"/>
          <w:sz w:val="22"/>
          <w:szCs w:val="22"/>
        </w:rPr>
        <w:t xml:space="preserve"> </w:t>
      </w:r>
      <w:proofErr w:type="spellStart"/>
      <w:r w:rsidR="00A81258" w:rsidRPr="00A81258">
        <w:rPr>
          <w:rFonts w:asciiTheme="minorHAnsi" w:hAnsiTheme="minorHAnsi" w:cstheme="minorHAnsi"/>
          <w:color w:val="333333"/>
          <w:sz w:val="22"/>
          <w:szCs w:val="22"/>
        </w:rPr>
        <w:t>pohađanja</w:t>
      </w:r>
      <w:proofErr w:type="spellEnd"/>
      <w:r w:rsidR="00A81258" w:rsidRPr="00A81258">
        <w:rPr>
          <w:rFonts w:asciiTheme="minorHAnsi" w:hAnsiTheme="minorHAnsi" w:cstheme="minorHAnsi"/>
          <w:color w:val="333333"/>
          <w:sz w:val="22"/>
          <w:szCs w:val="22"/>
        </w:rPr>
        <w:t xml:space="preserve"> </w:t>
      </w:r>
      <w:proofErr w:type="spellStart"/>
      <w:r w:rsidR="00A81258" w:rsidRPr="00A81258">
        <w:rPr>
          <w:rFonts w:asciiTheme="minorHAnsi" w:hAnsiTheme="minorHAnsi" w:cstheme="minorHAnsi"/>
          <w:color w:val="333333"/>
          <w:sz w:val="22"/>
          <w:szCs w:val="22"/>
        </w:rPr>
        <w:t>pripremnog</w:t>
      </w:r>
      <w:proofErr w:type="spellEnd"/>
      <w:r w:rsidR="00A81258" w:rsidRPr="00A81258">
        <w:rPr>
          <w:rFonts w:asciiTheme="minorHAnsi" w:hAnsiTheme="minorHAnsi" w:cstheme="minorHAnsi"/>
          <w:color w:val="333333"/>
          <w:sz w:val="22"/>
          <w:szCs w:val="22"/>
        </w:rPr>
        <w:t xml:space="preserve"> </w:t>
      </w:r>
      <w:proofErr w:type="spellStart"/>
      <w:r w:rsidR="00A81258" w:rsidRPr="00A81258">
        <w:rPr>
          <w:rFonts w:asciiTheme="minorHAnsi" w:hAnsiTheme="minorHAnsi" w:cstheme="minorHAnsi"/>
          <w:color w:val="333333"/>
          <w:sz w:val="22"/>
          <w:szCs w:val="22"/>
        </w:rPr>
        <w:t>predškolskog</w:t>
      </w:r>
      <w:proofErr w:type="spellEnd"/>
      <w:r w:rsidR="00A81258" w:rsidRPr="00A81258">
        <w:rPr>
          <w:rFonts w:asciiTheme="minorHAnsi" w:hAnsiTheme="minorHAnsi" w:cstheme="minorHAnsi"/>
          <w:color w:val="333333"/>
          <w:sz w:val="22"/>
          <w:szCs w:val="22"/>
        </w:rPr>
        <w:t xml:space="preserve"> </w:t>
      </w:r>
      <w:proofErr w:type="spellStart"/>
      <w:r w:rsidR="00A81258" w:rsidRPr="00A81258">
        <w:rPr>
          <w:rFonts w:asciiTheme="minorHAnsi" w:hAnsiTheme="minorHAnsi" w:cstheme="minorHAnsi"/>
          <w:color w:val="333333"/>
          <w:sz w:val="22"/>
          <w:szCs w:val="22"/>
        </w:rPr>
        <w:t>programa</w:t>
      </w:r>
      <w:proofErr w:type="spellEnd"/>
      <w:r w:rsidR="00A81258" w:rsidRPr="00A81258">
        <w:rPr>
          <w:rFonts w:asciiTheme="minorHAnsi" w:hAnsiTheme="minorHAnsi" w:cstheme="minorHAnsi"/>
          <w:color w:val="333333"/>
          <w:sz w:val="22"/>
          <w:szCs w:val="22"/>
        </w:rPr>
        <w:t xml:space="preserve"> (PPP) </w:t>
      </w:r>
      <w:proofErr w:type="spellStart"/>
      <w:r w:rsidR="00A81258" w:rsidRPr="00A81258">
        <w:rPr>
          <w:rFonts w:asciiTheme="minorHAnsi" w:hAnsiTheme="minorHAnsi" w:cstheme="minorHAnsi"/>
          <w:color w:val="333333"/>
          <w:sz w:val="22"/>
          <w:szCs w:val="22"/>
        </w:rPr>
        <w:t>na</w:t>
      </w:r>
      <w:proofErr w:type="spellEnd"/>
      <w:r w:rsidR="00A81258" w:rsidRPr="00A81258">
        <w:rPr>
          <w:rFonts w:asciiTheme="minorHAnsi" w:hAnsiTheme="minorHAnsi" w:cstheme="minorHAnsi"/>
          <w:color w:val="333333"/>
          <w:sz w:val="22"/>
          <w:szCs w:val="22"/>
        </w:rPr>
        <w:t xml:space="preserve"> </w:t>
      </w:r>
      <w:proofErr w:type="spellStart"/>
      <w:r w:rsidR="00A81258" w:rsidRPr="00A81258">
        <w:rPr>
          <w:rFonts w:asciiTheme="minorHAnsi" w:hAnsiTheme="minorHAnsi" w:cstheme="minorHAnsi"/>
          <w:color w:val="333333"/>
          <w:sz w:val="22"/>
          <w:szCs w:val="22"/>
        </w:rPr>
        <w:t>udaljenosti</w:t>
      </w:r>
      <w:proofErr w:type="spellEnd"/>
      <w:r w:rsidR="00A81258" w:rsidRPr="00A81258">
        <w:rPr>
          <w:rFonts w:asciiTheme="minorHAnsi" w:hAnsiTheme="minorHAnsi" w:cstheme="minorHAnsi"/>
          <w:color w:val="333333"/>
          <w:sz w:val="22"/>
          <w:szCs w:val="21"/>
        </w:rPr>
        <w:t xml:space="preserve"> </w:t>
      </w:r>
      <w:proofErr w:type="spellStart"/>
      <w:r w:rsidR="00A81258" w:rsidRPr="00A81258">
        <w:rPr>
          <w:rFonts w:asciiTheme="minorHAnsi" w:hAnsiTheme="minorHAnsi" w:cstheme="minorHAnsi"/>
          <w:color w:val="333333"/>
          <w:sz w:val="22"/>
          <w:szCs w:val="21"/>
        </w:rPr>
        <w:t>većoj</w:t>
      </w:r>
      <w:proofErr w:type="spellEnd"/>
      <w:r w:rsidR="00A81258" w:rsidRPr="00A81258">
        <w:rPr>
          <w:rFonts w:asciiTheme="minorHAnsi" w:hAnsiTheme="minorHAnsi" w:cstheme="minorHAnsi"/>
          <w:color w:val="333333"/>
          <w:sz w:val="22"/>
          <w:szCs w:val="21"/>
        </w:rPr>
        <w:t xml:space="preserve"> </w:t>
      </w:r>
      <w:proofErr w:type="spellStart"/>
      <w:r w:rsidR="00A81258" w:rsidRPr="00A81258">
        <w:rPr>
          <w:rFonts w:asciiTheme="minorHAnsi" w:hAnsiTheme="minorHAnsi" w:cstheme="minorHAnsi"/>
          <w:color w:val="333333"/>
          <w:sz w:val="22"/>
          <w:szCs w:val="21"/>
        </w:rPr>
        <w:t>od</w:t>
      </w:r>
      <w:proofErr w:type="spellEnd"/>
      <w:r w:rsidR="00A81258" w:rsidRPr="00A81258">
        <w:rPr>
          <w:rFonts w:asciiTheme="minorHAnsi" w:hAnsiTheme="minorHAnsi" w:cstheme="minorHAnsi"/>
          <w:color w:val="333333"/>
          <w:sz w:val="22"/>
          <w:szCs w:val="21"/>
        </w:rPr>
        <w:t xml:space="preserve"> </w:t>
      </w:r>
      <w:proofErr w:type="spellStart"/>
      <w:r w:rsidR="00A81258" w:rsidRPr="00A81258">
        <w:rPr>
          <w:rFonts w:asciiTheme="minorHAnsi" w:hAnsiTheme="minorHAnsi" w:cstheme="minorHAnsi"/>
          <w:color w:val="333333"/>
          <w:sz w:val="22"/>
          <w:szCs w:val="21"/>
        </w:rPr>
        <w:t>dva</w:t>
      </w:r>
      <w:proofErr w:type="spellEnd"/>
      <w:r w:rsidR="00A81258" w:rsidRPr="00A81258">
        <w:rPr>
          <w:rFonts w:asciiTheme="minorHAnsi" w:hAnsiTheme="minorHAnsi" w:cstheme="minorHAnsi"/>
          <w:color w:val="333333"/>
          <w:sz w:val="22"/>
          <w:szCs w:val="21"/>
        </w:rPr>
        <w:t xml:space="preserve"> </w:t>
      </w:r>
      <w:proofErr w:type="spellStart"/>
      <w:r w:rsidR="00A81258" w:rsidRPr="00A81258">
        <w:rPr>
          <w:rFonts w:asciiTheme="minorHAnsi" w:hAnsiTheme="minorHAnsi" w:cstheme="minorHAnsi"/>
          <w:color w:val="333333"/>
          <w:sz w:val="22"/>
          <w:szCs w:val="21"/>
        </w:rPr>
        <w:t>kilometra</w:t>
      </w:r>
      <w:proofErr w:type="spellEnd"/>
      <w:r w:rsidR="00A81258" w:rsidRPr="00A81258">
        <w:rPr>
          <w:rFonts w:asciiTheme="minorHAnsi" w:hAnsiTheme="minorHAnsi" w:cstheme="minorHAnsi"/>
          <w:color w:val="333333"/>
          <w:sz w:val="22"/>
          <w:szCs w:val="21"/>
        </w:rPr>
        <w:t xml:space="preserve"> </w:t>
      </w:r>
      <w:proofErr w:type="spellStart"/>
      <w:r w:rsidR="00A81258" w:rsidRPr="00A81258">
        <w:rPr>
          <w:rFonts w:asciiTheme="minorHAnsi" w:hAnsiTheme="minorHAnsi" w:cstheme="minorHAnsi"/>
          <w:color w:val="333333"/>
          <w:sz w:val="22"/>
          <w:szCs w:val="21"/>
        </w:rPr>
        <w:t>i</w:t>
      </w:r>
      <w:proofErr w:type="spellEnd"/>
      <w:r w:rsidR="00A81258" w:rsidRPr="00A81258">
        <w:rPr>
          <w:rFonts w:asciiTheme="minorHAnsi" w:hAnsiTheme="minorHAnsi" w:cstheme="minorHAnsi"/>
          <w:color w:val="333333"/>
          <w:sz w:val="22"/>
          <w:szCs w:val="21"/>
        </w:rPr>
        <w:t xml:space="preserve"> </w:t>
      </w:r>
      <w:proofErr w:type="spellStart"/>
      <w:r w:rsidR="00A81258" w:rsidRPr="00A81258">
        <w:rPr>
          <w:rFonts w:asciiTheme="minorHAnsi" w:hAnsiTheme="minorHAnsi" w:cstheme="minorHAnsi"/>
          <w:color w:val="333333"/>
          <w:sz w:val="22"/>
          <w:szCs w:val="21"/>
        </w:rPr>
        <w:t>učenika</w:t>
      </w:r>
      <w:proofErr w:type="spellEnd"/>
      <w:r w:rsidR="00A81258" w:rsidRPr="00A81258">
        <w:rPr>
          <w:rFonts w:asciiTheme="minorHAnsi" w:hAnsiTheme="minorHAnsi" w:cstheme="minorHAnsi"/>
          <w:color w:val="333333"/>
          <w:sz w:val="22"/>
          <w:szCs w:val="21"/>
        </w:rPr>
        <w:t xml:space="preserve"> </w:t>
      </w:r>
      <w:proofErr w:type="spellStart"/>
      <w:r w:rsidR="00A81258" w:rsidRPr="00A81258">
        <w:rPr>
          <w:rFonts w:asciiTheme="minorHAnsi" w:hAnsiTheme="minorHAnsi" w:cstheme="minorHAnsi"/>
          <w:color w:val="333333"/>
          <w:sz w:val="22"/>
          <w:szCs w:val="21"/>
        </w:rPr>
        <w:t>osnovne</w:t>
      </w:r>
      <w:proofErr w:type="spellEnd"/>
      <w:r w:rsidR="00A81258" w:rsidRPr="00A81258">
        <w:rPr>
          <w:rFonts w:asciiTheme="minorHAnsi" w:hAnsiTheme="minorHAnsi" w:cstheme="minorHAnsi"/>
          <w:color w:val="333333"/>
          <w:sz w:val="22"/>
          <w:szCs w:val="21"/>
        </w:rPr>
        <w:t xml:space="preserve"> </w:t>
      </w:r>
      <w:proofErr w:type="spellStart"/>
      <w:r w:rsidR="00A81258" w:rsidRPr="00A81258">
        <w:rPr>
          <w:rFonts w:asciiTheme="minorHAnsi" w:hAnsiTheme="minorHAnsi" w:cstheme="minorHAnsi"/>
          <w:color w:val="333333"/>
          <w:sz w:val="22"/>
          <w:szCs w:val="21"/>
        </w:rPr>
        <w:t>škole</w:t>
      </w:r>
      <w:proofErr w:type="spellEnd"/>
      <w:r w:rsidR="00A81258" w:rsidRPr="00A81258">
        <w:rPr>
          <w:rFonts w:asciiTheme="minorHAnsi" w:hAnsiTheme="minorHAnsi" w:cstheme="minorHAnsi"/>
          <w:color w:val="333333"/>
          <w:sz w:val="22"/>
          <w:szCs w:val="21"/>
        </w:rPr>
        <w:t xml:space="preserve"> </w:t>
      </w:r>
      <w:proofErr w:type="spellStart"/>
      <w:r w:rsidR="00A81258" w:rsidRPr="00A81258">
        <w:rPr>
          <w:rFonts w:asciiTheme="minorHAnsi" w:hAnsiTheme="minorHAnsi" w:cstheme="minorHAnsi"/>
          <w:color w:val="333333"/>
          <w:sz w:val="22"/>
          <w:szCs w:val="21"/>
        </w:rPr>
        <w:t>na</w:t>
      </w:r>
      <w:proofErr w:type="spellEnd"/>
      <w:r w:rsidR="00A81258" w:rsidRPr="00A81258">
        <w:rPr>
          <w:rFonts w:asciiTheme="minorHAnsi" w:hAnsiTheme="minorHAnsi" w:cstheme="minorHAnsi"/>
          <w:color w:val="333333"/>
          <w:sz w:val="22"/>
          <w:szCs w:val="21"/>
        </w:rPr>
        <w:t xml:space="preserve"> </w:t>
      </w:r>
      <w:proofErr w:type="spellStart"/>
      <w:r w:rsidR="00A81258" w:rsidRPr="00A81258">
        <w:rPr>
          <w:rFonts w:asciiTheme="minorHAnsi" w:hAnsiTheme="minorHAnsi" w:cstheme="minorHAnsi"/>
          <w:color w:val="333333"/>
          <w:sz w:val="22"/>
          <w:szCs w:val="21"/>
        </w:rPr>
        <w:t>udaljenosti</w:t>
      </w:r>
      <w:proofErr w:type="spellEnd"/>
      <w:r w:rsidR="00A81258" w:rsidRPr="00A81258">
        <w:rPr>
          <w:rFonts w:asciiTheme="minorHAnsi" w:hAnsiTheme="minorHAnsi" w:cstheme="minorHAnsi"/>
          <w:color w:val="333333"/>
          <w:sz w:val="22"/>
          <w:szCs w:val="21"/>
        </w:rPr>
        <w:t xml:space="preserve"> </w:t>
      </w:r>
      <w:proofErr w:type="spellStart"/>
      <w:r w:rsidR="00A81258" w:rsidRPr="00A81258">
        <w:rPr>
          <w:rFonts w:asciiTheme="minorHAnsi" w:hAnsiTheme="minorHAnsi" w:cstheme="minorHAnsi"/>
          <w:color w:val="333333"/>
          <w:sz w:val="22"/>
          <w:szCs w:val="21"/>
        </w:rPr>
        <w:t>većoj</w:t>
      </w:r>
      <w:proofErr w:type="spellEnd"/>
      <w:r w:rsidR="00A81258" w:rsidRPr="00A81258">
        <w:rPr>
          <w:rFonts w:asciiTheme="minorHAnsi" w:hAnsiTheme="minorHAnsi" w:cstheme="minorHAnsi"/>
          <w:color w:val="333333"/>
          <w:sz w:val="22"/>
          <w:szCs w:val="21"/>
        </w:rPr>
        <w:t xml:space="preserve"> </w:t>
      </w:r>
      <w:proofErr w:type="spellStart"/>
      <w:r w:rsidR="00A81258" w:rsidRPr="00A81258">
        <w:rPr>
          <w:rFonts w:asciiTheme="minorHAnsi" w:hAnsiTheme="minorHAnsi" w:cstheme="minorHAnsi"/>
          <w:color w:val="333333"/>
          <w:sz w:val="22"/>
          <w:szCs w:val="21"/>
        </w:rPr>
        <w:t>od</w:t>
      </w:r>
      <w:proofErr w:type="spellEnd"/>
      <w:r w:rsidR="00A81258" w:rsidRPr="00A81258">
        <w:rPr>
          <w:rFonts w:asciiTheme="minorHAnsi" w:hAnsiTheme="minorHAnsi" w:cstheme="minorHAnsi"/>
          <w:color w:val="333333"/>
          <w:sz w:val="22"/>
          <w:szCs w:val="21"/>
        </w:rPr>
        <w:t xml:space="preserve"> </w:t>
      </w:r>
      <w:proofErr w:type="spellStart"/>
      <w:r w:rsidR="00A81258" w:rsidRPr="00A81258">
        <w:rPr>
          <w:rFonts w:asciiTheme="minorHAnsi" w:hAnsiTheme="minorHAnsi" w:cstheme="minorHAnsi"/>
          <w:color w:val="333333"/>
          <w:sz w:val="22"/>
          <w:szCs w:val="21"/>
        </w:rPr>
        <w:t>četiri</w:t>
      </w:r>
      <w:proofErr w:type="spellEnd"/>
      <w:r w:rsidR="00A81258" w:rsidRPr="00A81258">
        <w:rPr>
          <w:rFonts w:asciiTheme="minorHAnsi" w:hAnsiTheme="minorHAnsi" w:cstheme="minorHAnsi"/>
          <w:color w:val="333333"/>
          <w:sz w:val="22"/>
          <w:szCs w:val="21"/>
        </w:rPr>
        <w:t xml:space="preserve"> </w:t>
      </w:r>
      <w:proofErr w:type="spellStart"/>
      <w:r w:rsidR="00A81258" w:rsidRPr="00A81258">
        <w:rPr>
          <w:rFonts w:asciiTheme="minorHAnsi" w:hAnsiTheme="minorHAnsi" w:cstheme="minorHAnsi"/>
          <w:color w:val="333333"/>
          <w:sz w:val="22"/>
          <w:szCs w:val="21"/>
        </w:rPr>
        <w:t>kilometra</w:t>
      </w:r>
      <w:proofErr w:type="spellEnd"/>
      <w:r w:rsidR="00A81258" w:rsidRPr="00A81258">
        <w:rPr>
          <w:rFonts w:asciiTheme="minorHAnsi" w:hAnsiTheme="minorHAnsi" w:cstheme="minorHAnsi"/>
          <w:color w:val="333333"/>
          <w:sz w:val="22"/>
          <w:szCs w:val="21"/>
        </w:rPr>
        <w:t xml:space="preserve"> </w:t>
      </w:r>
      <w:proofErr w:type="spellStart"/>
      <w:r w:rsidR="00A81258" w:rsidRPr="00A81258">
        <w:rPr>
          <w:rFonts w:asciiTheme="minorHAnsi" w:hAnsiTheme="minorHAnsi" w:cstheme="minorHAnsi"/>
          <w:color w:val="333333"/>
          <w:sz w:val="22"/>
          <w:szCs w:val="21"/>
        </w:rPr>
        <w:t>od</w:t>
      </w:r>
      <w:proofErr w:type="spellEnd"/>
      <w:r w:rsidR="00A81258" w:rsidRPr="00A81258">
        <w:rPr>
          <w:rFonts w:asciiTheme="minorHAnsi" w:hAnsiTheme="minorHAnsi" w:cstheme="minorHAnsi"/>
          <w:color w:val="333333"/>
          <w:sz w:val="22"/>
          <w:szCs w:val="21"/>
        </w:rPr>
        <w:t xml:space="preserve"> </w:t>
      </w:r>
      <w:proofErr w:type="spellStart"/>
      <w:r w:rsidR="00A81258" w:rsidRPr="00A81258">
        <w:rPr>
          <w:rFonts w:asciiTheme="minorHAnsi" w:hAnsiTheme="minorHAnsi" w:cstheme="minorHAnsi"/>
          <w:color w:val="333333"/>
          <w:sz w:val="22"/>
          <w:szCs w:val="21"/>
        </w:rPr>
        <w:t>sedišta</w:t>
      </w:r>
      <w:proofErr w:type="spellEnd"/>
      <w:r w:rsidR="00A81258" w:rsidRPr="00A81258">
        <w:rPr>
          <w:rFonts w:asciiTheme="minorHAnsi" w:hAnsiTheme="minorHAnsi" w:cstheme="minorHAnsi"/>
          <w:color w:val="333333"/>
          <w:sz w:val="22"/>
          <w:szCs w:val="21"/>
        </w:rPr>
        <w:t xml:space="preserve"> </w:t>
      </w:r>
      <w:proofErr w:type="spellStart"/>
      <w:r w:rsidR="00A81258" w:rsidRPr="00A81258">
        <w:rPr>
          <w:rFonts w:asciiTheme="minorHAnsi" w:hAnsiTheme="minorHAnsi" w:cstheme="minorHAnsi"/>
          <w:color w:val="333333"/>
          <w:sz w:val="22"/>
          <w:szCs w:val="21"/>
        </w:rPr>
        <w:t>škole</w:t>
      </w:r>
      <w:proofErr w:type="spellEnd"/>
      <w:r w:rsidR="00A81258" w:rsidRPr="00A81258">
        <w:rPr>
          <w:rFonts w:asciiTheme="minorHAnsi" w:hAnsiTheme="minorHAnsi" w:cstheme="minorHAnsi"/>
          <w:color w:val="333333"/>
          <w:sz w:val="22"/>
          <w:szCs w:val="21"/>
        </w:rPr>
        <w:t xml:space="preserve">; </w:t>
      </w:r>
      <w:proofErr w:type="spellStart"/>
      <w:r w:rsidR="00A81258" w:rsidRPr="00A81258">
        <w:rPr>
          <w:rFonts w:asciiTheme="minorHAnsi" w:hAnsiTheme="minorHAnsi" w:cstheme="minorHAnsi"/>
          <w:color w:val="333333"/>
          <w:sz w:val="22"/>
          <w:szCs w:val="21"/>
        </w:rPr>
        <w:t>prevoz</w:t>
      </w:r>
      <w:proofErr w:type="spellEnd"/>
      <w:r w:rsidR="00A81258" w:rsidRPr="00A81258">
        <w:rPr>
          <w:rFonts w:asciiTheme="minorHAnsi" w:hAnsiTheme="minorHAnsi" w:cstheme="minorHAnsi"/>
          <w:color w:val="333333"/>
          <w:sz w:val="22"/>
          <w:szCs w:val="21"/>
        </w:rPr>
        <w:t xml:space="preserve">, </w:t>
      </w:r>
      <w:proofErr w:type="spellStart"/>
      <w:r w:rsidR="00A81258" w:rsidRPr="00A81258">
        <w:rPr>
          <w:rFonts w:asciiTheme="minorHAnsi" w:hAnsiTheme="minorHAnsi" w:cstheme="minorHAnsi"/>
          <w:color w:val="333333"/>
          <w:sz w:val="22"/>
          <w:szCs w:val="21"/>
        </w:rPr>
        <w:t>smeštaj</w:t>
      </w:r>
      <w:proofErr w:type="spellEnd"/>
      <w:r w:rsidR="00A81258" w:rsidRPr="00A81258">
        <w:rPr>
          <w:rFonts w:asciiTheme="minorHAnsi" w:hAnsiTheme="minorHAnsi" w:cstheme="minorHAnsi"/>
          <w:color w:val="333333"/>
          <w:sz w:val="22"/>
          <w:szCs w:val="21"/>
        </w:rPr>
        <w:t xml:space="preserve"> </w:t>
      </w:r>
      <w:proofErr w:type="spellStart"/>
      <w:r w:rsidR="00A81258" w:rsidRPr="00A81258">
        <w:rPr>
          <w:rFonts w:asciiTheme="minorHAnsi" w:hAnsiTheme="minorHAnsi" w:cstheme="minorHAnsi"/>
          <w:color w:val="333333"/>
          <w:sz w:val="22"/>
          <w:szCs w:val="21"/>
        </w:rPr>
        <w:t>i</w:t>
      </w:r>
      <w:proofErr w:type="spellEnd"/>
      <w:r w:rsidR="00A81258" w:rsidRPr="00A81258">
        <w:rPr>
          <w:rFonts w:asciiTheme="minorHAnsi" w:hAnsiTheme="minorHAnsi" w:cstheme="minorHAnsi"/>
          <w:color w:val="333333"/>
          <w:sz w:val="22"/>
          <w:szCs w:val="21"/>
        </w:rPr>
        <w:t xml:space="preserve"> </w:t>
      </w:r>
      <w:proofErr w:type="spellStart"/>
      <w:r w:rsidR="00A81258" w:rsidRPr="00A81258">
        <w:rPr>
          <w:rFonts w:asciiTheme="minorHAnsi" w:hAnsiTheme="minorHAnsi" w:cstheme="minorHAnsi"/>
          <w:color w:val="333333"/>
          <w:sz w:val="22"/>
          <w:szCs w:val="21"/>
        </w:rPr>
        <w:t>ishranu</w:t>
      </w:r>
      <w:proofErr w:type="spellEnd"/>
      <w:r w:rsidR="00A81258" w:rsidRPr="00A81258">
        <w:rPr>
          <w:rFonts w:asciiTheme="minorHAnsi" w:hAnsiTheme="minorHAnsi" w:cstheme="minorHAnsi"/>
          <w:color w:val="333333"/>
          <w:sz w:val="22"/>
          <w:szCs w:val="21"/>
        </w:rPr>
        <w:t xml:space="preserve"> </w:t>
      </w:r>
      <w:proofErr w:type="spellStart"/>
      <w:r w:rsidR="00A81258" w:rsidRPr="00A81258">
        <w:rPr>
          <w:rFonts w:asciiTheme="minorHAnsi" w:hAnsiTheme="minorHAnsi" w:cstheme="minorHAnsi"/>
          <w:color w:val="333333"/>
          <w:sz w:val="22"/>
          <w:szCs w:val="21"/>
        </w:rPr>
        <w:t>dece</w:t>
      </w:r>
      <w:proofErr w:type="spellEnd"/>
      <w:r w:rsidR="00A81258" w:rsidRPr="00A81258">
        <w:rPr>
          <w:rFonts w:asciiTheme="minorHAnsi" w:hAnsiTheme="minorHAnsi" w:cstheme="minorHAnsi"/>
          <w:color w:val="333333"/>
          <w:sz w:val="22"/>
          <w:szCs w:val="21"/>
        </w:rPr>
        <w:t xml:space="preserve"> </w:t>
      </w:r>
      <w:proofErr w:type="spellStart"/>
      <w:r w:rsidR="00A81258" w:rsidRPr="00A81258">
        <w:rPr>
          <w:rFonts w:asciiTheme="minorHAnsi" w:hAnsiTheme="minorHAnsi" w:cstheme="minorHAnsi"/>
          <w:color w:val="333333"/>
          <w:sz w:val="22"/>
          <w:szCs w:val="21"/>
        </w:rPr>
        <w:t>i</w:t>
      </w:r>
      <w:proofErr w:type="spellEnd"/>
      <w:r w:rsidR="00A81258" w:rsidRPr="00A81258">
        <w:rPr>
          <w:rFonts w:asciiTheme="minorHAnsi" w:hAnsiTheme="minorHAnsi" w:cstheme="minorHAnsi"/>
          <w:color w:val="333333"/>
          <w:sz w:val="22"/>
          <w:szCs w:val="21"/>
        </w:rPr>
        <w:t xml:space="preserve"> </w:t>
      </w:r>
      <w:proofErr w:type="spellStart"/>
      <w:r w:rsidR="00A81258" w:rsidRPr="00A81258">
        <w:rPr>
          <w:rFonts w:asciiTheme="minorHAnsi" w:hAnsiTheme="minorHAnsi" w:cstheme="minorHAnsi"/>
          <w:color w:val="333333"/>
          <w:sz w:val="22"/>
          <w:szCs w:val="21"/>
        </w:rPr>
        <w:t>učenika</w:t>
      </w:r>
      <w:proofErr w:type="spellEnd"/>
      <w:r w:rsidR="00A81258" w:rsidRPr="00A81258">
        <w:rPr>
          <w:rFonts w:asciiTheme="minorHAnsi" w:hAnsiTheme="minorHAnsi" w:cstheme="minorHAnsi"/>
          <w:color w:val="333333"/>
          <w:sz w:val="22"/>
          <w:szCs w:val="21"/>
        </w:rPr>
        <w:t xml:space="preserve"> </w:t>
      </w:r>
      <w:proofErr w:type="spellStart"/>
      <w:r w:rsidR="00A81258" w:rsidRPr="00A81258">
        <w:rPr>
          <w:rFonts w:asciiTheme="minorHAnsi" w:hAnsiTheme="minorHAnsi" w:cstheme="minorHAnsi"/>
          <w:color w:val="333333"/>
          <w:sz w:val="22"/>
          <w:szCs w:val="21"/>
        </w:rPr>
        <w:t>sa</w:t>
      </w:r>
      <w:proofErr w:type="spellEnd"/>
      <w:r w:rsidR="00A81258" w:rsidRPr="00A81258">
        <w:rPr>
          <w:rFonts w:asciiTheme="minorHAnsi" w:hAnsiTheme="minorHAnsi" w:cstheme="minorHAnsi"/>
          <w:color w:val="333333"/>
          <w:sz w:val="22"/>
          <w:szCs w:val="21"/>
        </w:rPr>
        <w:t xml:space="preserve"> </w:t>
      </w:r>
      <w:proofErr w:type="spellStart"/>
      <w:r w:rsidR="00A81258" w:rsidRPr="00A81258">
        <w:rPr>
          <w:rFonts w:asciiTheme="minorHAnsi" w:hAnsiTheme="minorHAnsi" w:cstheme="minorHAnsi"/>
          <w:color w:val="333333"/>
          <w:sz w:val="22"/>
          <w:szCs w:val="21"/>
        </w:rPr>
        <w:t>smetnjama</w:t>
      </w:r>
      <w:proofErr w:type="spellEnd"/>
      <w:r w:rsidR="00A81258" w:rsidRPr="00A81258">
        <w:rPr>
          <w:rFonts w:asciiTheme="minorHAnsi" w:hAnsiTheme="minorHAnsi" w:cstheme="minorHAnsi"/>
          <w:color w:val="333333"/>
          <w:sz w:val="22"/>
          <w:szCs w:val="21"/>
        </w:rPr>
        <w:t xml:space="preserve"> u </w:t>
      </w:r>
      <w:proofErr w:type="spellStart"/>
      <w:r w:rsidR="00A81258" w:rsidRPr="00A81258">
        <w:rPr>
          <w:rFonts w:asciiTheme="minorHAnsi" w:hAnsiTheme="minorHAnsi" w:cstheme="minorHAnsi"/>
          <w:color w:val="333333"/>
          <w:sz w:val="22"/>
          <w:szCs w:val="21"/>
        </w:rPr>
        <w:t>razvoju</w:t>
      </w:r>
      <w:proofErr w:type="spellEnd"/>
      <w:r w:rsidR="00A81258" w:rsidRPr="00A81258">
        <w:rPr>
          <w:rFonts w:asciiTheme="minorHAnsi" w:hAnsiTheme="minorHAnsi" w:cstheme="minorHAnsi"/>
          <w:color w:val="333333"/>
          <w:sz w:val="22"/>
          <w:szCs w:val="21"/>
        </w:rPr>
        <w:t xml:space="preserve">, bez </w:t>
      </w:r>
      <w:proofErr w:type="spellStart"/>
      <w:r w:rsidR="00A81258" w:rsidRPr="00A81258">
        <w:rPr>
          <w:rFonts w:asciiTheme="minorHAnsi" w:hAnsiTheme="minorHAnsi" w:cstheme="minorHAnsi"/>
          <w:color w:val="333333"/>
          <w:sz w:val="22"/>
          <w:szCs w:val="21"/>
        </w:rPr>
        <w:t>obzira</w:t>
      </w:r>
      <w:proofErr w:type="spellEnd"/>
      <w:r w:rsidR="00A81258" w:rsidRPr="00A81258">
        <w:rPr>
          <w:rFonts w:asciiTheme="minorHAnsi" w:hAnsiTheme="minorHAnsi" w:cstheme="minorHAnsi"/>
          <w:color w:val="333333"/>
          <w:sz w:val="22"/>
          <w:szCs w:val="21"/>
        </w:rPr>
        <w:t xml:space="preserve"> </w:t>
      </w:r>
      <w:proofErr w:type="spellStart"/>
      <w:r w:rsidR="00A81258" w:rsidRPr="00A81258">
        <w:rPr>
          <w:rFonts w:asciiTheme="minorHAnsi" w:hAnsiTheme="minorHAnsi" w:cstheme="minorHAnsi"/>
          <w:color w:val="333333"/>
          <w:sz w:val="22"/>
          <w:szCs w:val="21"/>
        </w:rPr>
        <w:t>na</w:t>
      </w:r>
      <w:proofErr w:type="spellEnd"/>
      <w:r w:rsidR="00A81258" w:rsidRPr="00A81258">
        <w:rPr>
          <w:rFonts w:asciiTheme="minorHAnsi" w:hAnsiTheme="minorHAnsi" w:cstheme="minorHAnsi"/>
          <w:color w:val="333333"/>
          <w:sz w:val="22"/>
          <w:szCs w:val="21"/>
        </w:rPr>
        <w:t xml:space="preserve"> </w:t>
      </w:r>
      <w:proofErr w:type="spellStart"/>
      <w:r w:rsidR="00A81258" w:rsidRPr="00A81258">
        <w:rPr>
          <w:rFonts w:asciiTheme="minorHAnsi" w:hAnsiTheme="minorHAnsi" w:cstheme="minorHAnsi"/>
          <w:color w:val="333333"/>
          <w:sz w:val="22"/>
          <w:szCs w:val="21"/>
        </w:rPr>
        <w:t>udaljenost</w:t>
      </w:r>
      <w:proofErr w:type="spellEnd"/>
      <w:r w:rsidR="00A81258" w:rsidRPr="00A81258">
        <w:rPr>
          <w:rFonts w:asciiTheme="minorHAnsi" w:hAnsiTheme="minorHAnsi" w:cstheme="minorHAnsi"/>
          <w:color w:val="333333"/>
          <w:sz w:val="22"/>
          <w:szCs w:val="21"/>
        </w:rPr>
        <w:t xml:space="preserve"> </w:t>
      </w:r>
      <w:proofErr w:type="spellStart"/>
      <w:r w:rsidR="00A81258" w:rsidRPr="00A81258">
        <w:rPr>
          <w:rFonts w:asciiTheme="minorHAnsi" w:hAnsiTheme="minorHAnsi" w:cstheme="minorHAnsi"/>
          <w:color w:val="333333"/>
          <w:sz w:val="22"/>
          <w:szCs w:val="21"/>
        </w:rPr>
        <w:t>mesta</w:t>
      </w:r>
      <w:proofErr w:type="spellEnd"/>
      <w:r w:rsidR="00A81258" w:rsidRPr="00A81258">
        <w:rPr>
          <w:rFonts w:asciiTheme="minorHAnsi" w:hAnsiTheme="minorHAnsi" w:cstheme="minorHAnsi"/>
          <w:color w:val="333333"/>
          <w:sz w:val="22"/>
          <w:szCs w:val="21"/>
        </w:rPr>
        <w:t xml:space="preserve"> </w:t>
      </w:r>
      <w:proofErr w:type="spellStart"/>
      <w:r w:rsidR="00A81258" w:rsidRPr="00A81258">
        <w:rPr>
          <w:rFonts w:asciiTheme="minorHAnsi" w:hAnsiTheme="minorHAnsi" w:cstheme="minorHAnsi"/>
          <w:color w:val="333333"/>
          <w:sz w:val="22"/>
          <w:szCs w:val="21"/>
        </w:rPr>
        <w:t>stanovanja</w:t>
      </w:r>
      <w:proofErr w:type="spellEnd"/>
      <w:r w:rsidR="00A81258" w:rsidRPr="00A81258">
        <w:rPr>
          <w:rFonts w:asciiTheme="minorHAnsi" w:hAnsiTheme="minorHAnsi" w:cstheme="minorHAnsi"/>
          <w:color w:val="333333"/>
          <w:sz w:val="22"/>
          <w:szCs w:val="21"/>
        </w:rPr>
        <w:t xml:space="preserve"> </w:t>
      </w:r>
      <w:proofErr w:type="spellStart"/>
      <w:r w:rsidR="00A81258" w:rsidRPr="00A81258">
        <w:rPr>
          <w:rFonts w:asciiTheme="minorHAnsi" w:hAnsiTheme="minorHAnsi" w:cstheme="minorHAnsi"/>
          <w:color w:val="333333"/>
          <w:sz w:val="22"/>
          <w:szCs w:val="21"/>
        </w:rPr>
        <w:t>od</w:t>
      </w:r>
      <w:proofErr w:type="spellEnd"/>
      <w:r w:rsidR="00A81258" w:rsidRPr="00A81258">
        <w:rPr>
          <w:rFonts w:asciiTheme="minorHAnsi" w:hAnsiTheme="minorHAnsi" w:cstheme="minorHAnsi"/>
          <w:color w:val="333333"/>
          <w:sz w:val="22"/>
          <w:szCs w:val="21"/>
        </w:rPr>
        <w:t xml:space="preserve"> </w:t>
      </w:r>
      <w:proofErr w:type="spellStart"/>
      <w:r w:rsidR="00A81258" w:rsidRPr="00A81258">
        <w:rPr>
          <w:rFonts w:asciiTheme="minorHAnsi" w:hAnsiTheme="minorHAnsi" w:cstheme="minorHAnsi"/>
          <w:color w:val="333333"/>
          <w:sz w:val="22"/>
          <w:szCs w:val="21"/>
        </w:rPr>
        <w:t>škole</w:t>
      </w:r>
      <w:proofErr w:type="spellEnd"/>
      <w:r w:rsidR="00A81258" w:rsidRPr="00A81258">
        <w:rPr>
          <w:rFonts w:asciiTheme="minorHAnsi" w:hAnsiTheme="minorHAnsi" w:cstheme="minorHAnsi"/>
          <w:color w:val="333333"/>
          <w:sz w:val="22"/>
          <w:szCs w:val="21"/>
        </w:rPr>
        <w:t xml:space="preserve">; </w:t>
      </w:r>
      <w:proofErr w:type="spellStart"/>
      <w:r w:rsidR="00A81258" w:rsidRPr="00A81258">
        <w:rPr>
          <w:rFonts w:asciiTheme="minorHAnsi" w:hAnsiTheme="minorHAnsi" w:cstheme="minorHAnsi"/>
          <w:color w:val="333333"/>
          <w:sz w:val="22"/>
          <w:szCs w:val="21"/>
        </w:rPr>
        <w:t>prevoz</w:t>
      </w:r>
      <w:proofErr w:type="spellEnd"/>
      <w:r w:rsidR="00A81258" w:rsidRPr="00A81258">
        <w:rPr>
          <w:rFonts w:asciiTheme="minorHAnsi" w:hAnsiTheme="minorHAnsi" w:cstheme="minorHAnsi"/>
          <w:color w:val="333333"/>
          <w:sz w:val="22"/>
          <w:szCs w:val="21"/>
        </w:rPr>
        <w:t xml:space="preserve"> </w:t>
      </w:r>
      <w:proofErr w:type="spellStart"/>
      <w:r w:rsidR="00A81258" w:rsidRPr="00A81258">
        <w:rPr>
          <w:rFonts w:asciiTheme="minorHAnsi" w:hAnsiTheme="minorHAnsi" w:cstheme="minorHAnsi"/>
          <w:color w:val="333333"/>
          <w:sz w:val="22"/>
          <w:szCs w:val="21"/>
        </w:rPr>
        <w:t>učenika</w:t>
      </w:r>
      <w:proofErr w:type="spellEnd"/>
      <w:r w:rsidR="00A81258" w:rsidRPr="00A81258">
        <w:rPr>
          <w:rFonts w:asciiTheme="minorHAnsi" w:hAnsiTheme="minorHAnsi" w:cstheme="minorHAnsi"/>
          <w:color w:val="333333"/>
          <w:sz w:val="22"/>
          <w:szCs w:val="21"/>
        </w:rPr>
        <w:t xml:space="preserve"> </w:t>
      </w:r>
      <w:proofErr w:type="spellStart"/>
      <w:r w:rsidR="00A81258" w:rsidRPr="00A81258">
        <w:rPr>
          <w:rFonts w:asciiTheme="minorHAnsi" w:hAnsiTheme="minorHAnsi" w:cstheme="minorHAnsi"/>
          <w:color w:val="333333"/>
          <w:sz w:val="22"/>
          <w:szCs w:val="21"/>
        </w:rPr>
        <w:t>na</w:t>
      </w:r>
      <w:proofErr w:type="spellEnd"/>
      <w:r w:rsidR="00A81258" w:rsidRPr="00A81258">
        <w:rPr>
          <w:rFonts w:asciiTheme="minorHAnsi" w:hAnsiTheme="minorHAnsi" w:cstheme="minorHAnsi"/>
          <w:color w:val="333333"/>
          <w:sz w:val="22"/>
          <w:szCs w:val="21"/>
        </w:rPr>
        <w:t xml:space="preserve"> </w:t>
      </w:r>
      <w:proofErr w:type="spellStart"/>
      <w:r w:rsidR="00A81258" w:rsidRPr="00A81258">
        <w:rPr>
          <w:rFonts w:asciiTheme="minorHAnsi" w:hAnsiTheme="minorHAnsi" w:cstheme="minorHAnsi"/>
          <w:color w:val="333333"/>
          <w:sz w:val="22"/>
          <w:szCs w:val="21"/>
        </w:rPr>
        <w:t>republička</w:t>
      </w:r>
      <w:proofErr w:type="spellEnd"/>
      <w:r w:rsidR="00A81258" w:rsidRPr="00A81258">
        <w:rPr>
          <w:rFonts w:asciiTheme="minorHAnsi" w:hAnsiTheme="minorHAnsi" w:cstheme="minorHAnsi"/>
          <w:color w:val="333333"/>
          <w:sz w:val="22"/>
          <w:szCs w:val="21"/>
        </w:rPr>
        <w:t xml:space="preserve"> </w:t>
      </w:r>
      <w:proofErr w:type="spellStart"/>
      <w:r w:rsidR="00A81258" w:rsidRPr="00A81258">
        <w:rPr>
          <w:rFonts w:asciiTheme="minorHAnsi" w:hAnsiTheme="minorHAnsi" w:cstheme="minorHAnsi"/>
          <w:color w:val="333333"/>
          <w:sz w:val="22"/>
          <w:szCs w:val="21"/>
        </w:rPr>
        <w:t>i</w:t>
      </w:r>
      <w:proofErr w:type="spellEnd"/>
      <w:r w:rsidR="00A81258" w:rsidRPr="00A81258">
        <w:rPr>
          <w:rFonts w:asciiTheme="minorHAnsi" w:hAnsiTheme="minorHAnsi" w:cstheme="minorHAnsi"/>
          <w:color w:val="333333"/>
          <w:sz w:val="22"/>
          <w:szCs w:val="21"/>
        </w:rPr>
        <w:t xml:space="preserve"> </w:t>
      </w:r>
      <w:proofErr w:type="spellStart"/>
      <w:r w:rsidR="00A81258" w:rsidRPr="00A81258">
        <w:rPr>
          <w:rFonts w:asciiTheme="minorHAnsi" w:hAnsiTheme="minorHAnsi" w:cstheme="minorHAnsi"/>
          <w:color w:val="333333"/>
          <w:sz w:val="22"/>
          <w:szCs w:val="21"/>
        </w:rPr>
        <w:t>međunarodna</w:t>
      </w:r>
      <w:proofErr w:type="spellEnd"/>
      <w:r w:rsidR="00A81258" w:rsidRPr="00A81258">
        <w:rPr>
          <w:rFonts w:asciiTheme="minorHAnsi" w:hAnsiTheme="minorHAnsi" w:cstheme="minorHAnsi"/>
          <w:color w:val="333333"/>
          <w:sz w:val="22"/>
          <w:szCs w:val="21"/>
        </w:rPr>
        <w:t xml:space="preserve"> </w:t>
      </w:r>
      <w:proofErr w:type="spellStart"/>
      <w:r w:rsidR="00A81258" w:rsidRPr="00A81258">
        <w:rPr>
          <w:rFonts w:asciiTheme="minorHAnsi" w:hAnsiTheme="minorHAnsi" w:cstheme="minorHAnsi"/>
          <w:color w:val="333333"/>
          <w:sz w:val="22"/>
          <w:szCs w:val="21"/>
        </w:rPr>
        <w:t>takmičenja</w:t>
      </w:r>
      <w:proofErr w:type="spellEnd"/>
      <w:r w:rsidR="00A81258" w:rsidRPr="00A81258">
        <w:rPr>
          <w:rFonts w:asciiTheme="minorHAnsi" w:hAnsiTheme="minorHAnsi" w:cstheme="minorHAnsi"/>
          <w:color w:val="333333"/>
          <w:sz w:val="22"/>
          <w:szCs w:val="21"/>
        </w:rPr>
        <w:t xml:space="preserve">; </w:t>
      </w:r>
      <w:r w:rsidR="00A81258" w:rsidRPr="00A81258">
        <w:rPr>
          <w:rFonts w:asciiTheme="minorHAnsi" w:hAnsiTheme="minorHAnsi" w:cstheme="minorHAnsi"/>
          <w:sz w:val="22"/>
          <w:lang w:val="sr-Latn-RS"/>
        </w:rPr>
        <w:t>z</w:t>
      </w:r>
      <w:r w:rsidR="00A81258" w:rsidRPr="00A81258">
        <w:rPr>
          <w:rFonts w:asciiTheme="minorHAnsi" w:hAnsiTheme="minorHAnsi" w:cstheme="minorHAnsi"/>
          <w:sz w:val="22"/>
          <w:lang w:val="ru-RU"/>
        </w:rPr>
        <w:t>aštitu i bezbednost dece i učenika</w:t>
      </w:r>
      <w:r w:rsidR="00A81258" w:rsidRPr="00A81258">
        <w:rPr>
          <w:rFonts w:asciiTheme="minorHAnsi" w:hAnsiTheme="minorHAnsi" w:cstheme="minorHAnsi"/>
          <w:sz w:val="22"/>
          <w:lang w:val="sr-Latn-RS"/>
        </w:rPr>
        <w:t xml:space="preserve"> i kapitalne izdatke</w:t>
      </w:r>
      <w:r w:rsidR="00A81258" w:rsidRPr="00A81258">
        <w:rPr>
          <w:rStyle w:val="FootnoteReference"/>
          <w:rFonts w:asciiTheme="minorHAnsi" w:hAnsiTheme="minorHAnsi" w:cstheme="minorHAnsi"/>
          <w:sz w:val="22"/>
          <w:lang w:val="ru-RU"/>
        </w:rPr>
        <w:footnoteReference w:id="2"/>
      </w:r>
      <w:r w:rsidR="00A81258" w:rsidRPr="00A81258">
        <w:rPr>
          <w:rFonts w:asciiTheme="minorHAnsi" w:hAnsiTheme="minorHAnsi" w:cstheme="minorHAnsi"/>
          <w:sz w:val="22"/>
          <w:lang w:val="sr-Latn-RS"/>
        </w:rPr>
        <w:t>.</w:t>
      </w:r>
    </w:p>
    <w:p w14:paraId="6C9EF9D2" w14:textId="18C3AFCC" w:rsidR="00480DA3" w:rsidRPr="00A81258" w:rsidRDefault="00480DA3" w:rsidP="00AA247D">
      <w:pPr>
        <w:pStyle w:val="FootnoteText"/>
        <w:spacing w:after="120" w:line="276" w:lineRule="auto"/>
        <w:jc w:val="both"/>
        <w:rPr>
          <w:rFonts w:eastAsia="Calibri" w:cstheme="minorHAnsi"/>
          <w:b/>
          <w:i/>
          <w:sz w:val="22"/>
          <w:szCs w:val="22"/>
        </w:rPr>
      </w:pPr>
    </w:p>
    <w:p w14:paraId="5B1F433B" w14:textId="332156BA" w:rsidR="00100E03" w:rsidRPr="00EE58A2" w:rsidRDefault="00100E03" w:rsidP="00AA247D">
      <w:pPr>
        <w:pStyle w:val="FootnoteText"/>
        <w:spacing w:line="276" w:lineRule="auto"/>
        <w:jc w:val="both"/>
        <w:rPr>
          <w:rFonts w:cstheme="minorHAnsi"/>
          <w:sz w:val="22"/>
          <w:szCs w:val="22"/>
        </w:rPr>
      </w:pPr>
      <w:proofErr w:type="spellStart"/>
      <w:r w:rsidRPr="00A81258">
        <w:rPr>
          <w:rFonts w:cstheme="minorHAnsi"/>
          <w:b/>
          <w:i/>
          <w:sz w:val="22"/>
          <w:szCs w:val="22"/>
        </w:rPr>
        <w:t>Finansiranje</w:t>
      </w:r>
      <w:proofErr w:type="spellEnd"/>
      <w:r w:rsidRPr="00A81258">
        <w:rPr>
          <w:rFonts w:cstheme="minorHAnsi"/>
          <w:b/>
          <w:i/>
          <w:sz w:val="22"/>
          <w:szCs w:val="22"/>
        </w:rPr>
        <w:t xml:space="preserve"> </w:t>
      </w:r>
      <w:r w:rsidR="009A621A" w:rsidRPr="00A81258">
        <w:rPr>
          <w:rFonts w:cstheme="minorHAnsi"/>
          <w:b/>
          <w:i/>
          <w:sz w:val="22"/>
          <w:szCs w:val="22"/>
        </w:rPr>
        <w:t>PVO</w:t>
      </w:r>
      <w:r w:rsidRPr="00A81258">
        <w:rPr>
          <w:rFonts w:cstheme="minorHAnsi"/>
          <w:b/>
          <w:i/>
          <w:sz w:val="22"/>
          <w:szCs w:val="22"/>
          <w:lang w:val="sr-Latn-RS"/>
        </w:rPr>
        <w:t xml:space="preserve"> </w:t>
      </w:r>
      <w:r w:rsidRPr="00A81258">
        <w:rPr>
          <w:rFonts w:cstheme="minorHAnsi"/>
          <w:b/>
          <w:i/>
          <w:sz w:val="22"/>
          <w:szCs w:val="22"/>
        </w:rPr>
        <w:t xml:space="preserve">je </w:t>
      </w:r>
      <w:proofErr w:type="spellStart"/>
      <w:r w:rsidRPr="00A81258">
        <w:rPr>
          <w:rFonts w:cstheme="minorHAnsi"/>
          <w:b/>
          <w:i/>
          <w:sz w:val="22"/>
          <w:szCs w:val="22"/>
        </w:rPr>
        <w:t>regulisano</w:t>
      </w:r>
      <w:proofErr w:type="spellEnd"/>
      <w:r w:rsidR="00CF7E8E" w:rsidRPr="00A81258">
        <w:rPr>
          <w:rFonts w:cstheme="minorHAnsi"/>
          <w:b/>
          <w:i/>
          <w:sz w:val="22"/>
          <w:szCs w:val="22"/>
        </w:rPr>
        <w:t xml:space="preserve"> </w:t>
      </w:r>
      <w:r w:rsidR="00A81258" w:rsidRPr="00A81258">
        <w:rPr>
          <w:rFonts w:cstheme="minorHAnsi"/>
          <w:b/>
          <w:i/>
          <w:sz w:val="22"/>
          <w:szCs w:val="22"/>
        </w:rPr>
        <w:t xml:space="preserve">je </w:t>
      </w:r>
      <w:proofErr w:type="spellStart"/>
      <w:r w:rsidR="00A81258" w:rsidRPr="00A81258">
        <w:rPr>
          <w:rFonts w:cstheme="minorHAnsi"/>
          <w:b/>
          <w:i/>
          <w:sz w:val="22"/>
          <w:szCs w:val="22"/>
        </w:rPr>
        <w:t>tako</w:t>
      </w:r>
      <w:proofErr w:type="spellEnd"/>
      <w:r w:rsidR="00A81258" w:rsidRPr="00A81258">
        <w:rPr>
          <w:rFonts w:cstheme="minorHAnsi"/>
          <w:b/>
          <w:i/>
          <w:sz w:val="22"/>
          <w:szCs w:val="22"/>
        </w:rPr>
        <w:t xml:space="preserve"> da</w:t>
      </w:r>
      <w:r w:rsidRPr="00A81258">
        <w:rPr>
          <w:rFonts w:cstheme="minorHAnsi"/>
          <w:b/>
          <w:i/>
          <w:sz w:val="22"/>
          <w:szCs w:val="22"/>
        </w:rPr>
        <w:t xml:space="preserve"> </w:t>
      </w:r>
      <w:proofErr w:type="spellStart"/>
      <w:r w:rsidRPr="00A81258">
        <w:rPr>
          <w:rFonts w:cstheme="minorHAnsi"/>
          <w:b/>
          <w:i/>
          <w:sz w:val="22"/>
          <w:szCs w:val="22"/>
        </w:rPr>
        <w:t>lokalne</w:t>
      </w:r>
      <w:proofErr w:type="spellEnd"/>
      <w:r w:rsidRPr="00A81258">
        <w:rPr>
          <w:rFonts w:cstheme="minorHAnsi"/>
          <w:b/>
          <w:i/>
          <w:sz w:val="22"/>
          <w:szCs w:val="22"/>
        </w:rPr>
        <w:t xml:space="preserve"> </w:t>
      </w:r>
      <w:proofErr w:type="spellStart"/>
      <w:r w:rsidRPr="00A81258">
        <w:rPr>
          <w:rFonts w:cstheme="minorHAnsi"/>
          <w:b/>
          <w:i/>
          <w:sz w:val="22"/>
          <w:szCs w:val="22"/>
        </w:rPr>
        <w:t>samouprave</w:t>
      </w:r>
      <w:proofErr w:type="spellEnd"/>
      <w:r w:rsidRPr="00A81258">
        <w:rPr>
          <w:rFonts w:cstheme="minorHAnsi"/>
          <w:b/>
          <w:i/>
          <w:sz w:val="22"/>
          <w:szCs w:val="22"/>
        </w:rPr>
        <w:t xml:space="preserve"> </w:t>
      </w:r>
      <w:proofErr w:type="spellStart"/>
      <w:r w:rsidRPr="00A81258">
        <w:rPr>
          <w:rFonts w:cstheme="minorHAnsi"/>
          <w:b/>
          <w:i/>
          <w:sz w:val="22"/>
          <w:szCs w:val="22"/>
        </w:rPr>
        <w:t>finansiraju</w:t>
      </w:r>
      <w:proofErr w:type="spellEnd"/>
      <w:r w:rsidRPr="00A81258">
        <w:rPr>
          <w:rFonts w:cstheme="minorHAnsi"/>
          <w:b/>
          <w:i/>
          <w:sz w:val="22"/>
          <w:szCs w:val="22"/>
        </w:rPr>
        <w:t xml:space="preserve"> do 80% od ‘</w:t>
      </w:r>
      <w:proofErr w:type="spellStart"/>
      <w:r w:rsidRPr="00A81258">
        <w:rPr>
          <w:rFonts w:cstheme="minorHAnsi"/>
          <w:b/>
          <w:i/>
          <w:sz w:val="22"/>
          <w:szCs w:val="22"/>
        </w:rPr>
        <w:t>ekonomske</w:t>
      </w:r>
      <w:proofErr w:type="spellEnd"/>
      <w:r w:rsidRPr="00A81258">
        <w:rPr>
          <w:rFonts w:cstheme="minorHAnsi"/>
          <w:b/>
          <w:i/>
          <w:sz w:val="22"/>
          <w:szCs w:val="22"/>
        </w:rPr>
        <w:t xml:space="preserve"> </w:t>
      </w:r>
      <w:proofErr w:type="spellStart"/>
      <w:r w:rsidRPr="00A81258">
        <w:rPr>
          <w:rFonts w:cstheme="minorHAnsi"/>
          <w:b/>
          <w:i/>
          <w:sz w:val="22"/>
          <w:szCs w:val="22"/>
        </w:rPr>
        <w:t>cene</w:t>
      </w:r>
      <w:proofErr w:type="spellEnd"/>
      <w:r w:rsidRPr="00A81258">
        <w:rPr>
          <w:rFonts w:cstheme="minorHAnsi"/>
          <w:b/>
          <w:i/>
          <w:sz w:val="22"/>
          <w:szCs w:val="22"/>
        </w:rPr>
        <w:t xml:space="preserve">’ po </w:t>
      </w:r>
      <w:proofErr w:type="spellStart"/>
      <w:r w:rsidRPr="00A81258">
        <w:rPr>
          <w:rFonts w:cstheme="minorHAnsi"/>
          <w:b/>
          <w:i/>
          <w:sz w:val="22"/>
          <w:szCs w:val="22"/>
        </w:rPr>
        <w:t>detetu</w:t>
      </w:r>
      <w:proofErr w:type="spellEnd"/>
      <w:r w:rsidRPr="00A81258">
        <w:rPr>
          <w:rFonts w:cstheme="minorHAnsi"/>
          <w:b/>
          <w:i/>
          <w:sz w:val="22"/>
          <w:szCs w:val="22"/>
        </w:rPr>
        <w:t xml:space="preserve">, a </w:t>
      </w:r>
      <w:proofErr w:type="spellStart"/>
      <w:r w:rsidRPr="00A81258">
        <w:rPr>
          <w:rFonts w:cstheme="minorHAnsi"/>
          <w:b/>
          <w:i/>
          <w:sz w:val="22"/>
          <w:szCs w:val="22"/>
        </w:rPr>
        <w:t>roditelji</w:t>
      </w:r>
      <w:proofErr w:type="spellEnd"/>
      <w:r w:rsidRPr="00A81258">
        <w:rPr>
          <w:rFonts w:cstheme="minorHAnsi"/>
          <w:b/>
          <w:i/>
          <w:sz w:val="22"/>
          <w:szCs w:val="22"/>
        </w:rPr>
        <w:t xml:space="preserve"> </w:t>
      </w:r>
      <w:proofErr w:type="spellStart"/>
      <w:r w:rsidRPr="00A81258">
        <w:rPr>
          <w:rFonts w:cstheme="minorHAnsi"/>
          <w:b/>
          <w:i/>
          <w:sz w:val="22"/>
          <w:szCs w:val="22"/>
        </w:rPr>
        <w:t>preostalih</w:t>
      </w:r>
      <w:proofErr w:type="spellEnd"/>
      <w:r w:rsidRPr="00A81258">
        <w:rPr>
          <w:rFonts w:cstheme="minorHAnsi"/>
          <w:b/>
          <w:i/>
          <w:sz w:val="22"/>
          <w:szCs w:val="22"/>
        </w:rPr>
        <w:t xml:space="preserve"> 20% </w:t>
      </w:r>
      <w:proofErr w:type="spellStart"/>
      <w:r w:rsidRPr="00A81258">
        <w:rPr>
          <w:rFonts w:cstheme="minorHAnsi"/>
          <w:b/>
          <w:i/>
          <w:sz w:val="22"/>
          <w:szCs w:val="22"/>
        </w:rPr>
        <w:t>od</w:t>
      </w:r>
      <w:proofErr w:type="spellEnd"/>
      <w:r w:rsidRPr="00A81258">
        <w:rPr>
          <w:rFonts w:cstheme="minorHAnsi"/>
          <w:b/>
          <w:i/>
          <w:sz w:val="22"/>
          <w:szCs w:val="22"/>
        </w:rPr>
        <w:t xml:space="preserve"> </w:t>
      </w:r>
      <w:proofErr w:type="spellStart"/>
      <w:r w:rsidRPr="00A81258">
        <w:rPr>
          <w:rFonts w:cstheme="minorHAnsi"/>
          <w:b/>
          <w:i/>
          <w:sz w:val="22"/>
          <w:szCs w:val="22"/>
        </w:rPr>
        <w:t>cene</w:t>
      </w:r>
      <w:proofErr w:type="spellEnd"/>
      <w:r w:rsidR="00164FE4" w:rsidRPr="00EE58A2">
        <w:rPr>
          <w:rStyle w:val="FootnoteReference"/>
          <w:rFonts w:cstheme="minorHAnsi"/>
          <w:sz w:val="22"/>
          <w:szCs w:val="22"/>
        </w:rPr>
        <w:footnoteReference w:id="3"/>
      </w:r>
      <w:r w:rsidR="00AA247D" w:rsidRPr="00EE58A2">
        <w:rPr>
          <w:rFonts w:cstheme="minorHAnsi"/>
          <w:sz w:val="22"/>
          <w:szCs w:val="22"/>
        </w:rPr>
        <w:t xml:space="preserve">, od </w:t>
      </w:r>
      <w:proofErr w:type="spellStart"/>
      <w:r w:rsidR="00AA247D" w:rsidRPr="00EE58A2">
        <w:rPr>
          <w:rFonts w:cstheme="minorHAnsi"/>
          <w:sz w:val="22"/>
          <w:szCs w:val="22"/>
        </w:rPr>
        <w:t>čega</w:t>
      </w:r>
      <w:proofErr w:type="spellEnd"/>
      <w:r w:rsidR="00AA247D" w:rsidRPr="00EE58A2">
        <w:rPr>
          <w:rFonts w:cstheme="minorHAnsi"/>
          <w:sz w:val="22"/>
          <w:szCs w:val="22"/>
        </w:rPr>
        <w:t xml:space="preserve"> se </w:t>
      </w:r>
      <w:proofErr w:type="spellStart"/>
      <w:r w:rsidRPr="00EE58A2">
        <w:rPr>
          <w:rFonts w:cstheme="minorHAnsi"/>
          <w:sz w:val="22"/>
          <w:szCs w:val="21"/>
        </w:rPr>
        <w:t>izuzimaju</w:t>
      </w:r>
      <w:proofErr w:type="spellEnd"/>
      <w:r w:rsidRPr="00EE58A2">
        <w:rPr>
          <w:rFonts w:cstheme="minorHAnsi"/>
          <w:sz w:val="22"/>
          <w:szCs w:val="21"/>
        </w:rPr>
        <w:t xml:space="preserve"> </w:t>
      </w:r>
      <w:proofErr w:type="spellStart"/>
      <w:r w:rsidRPr="00EE58A2">
        <w:rPr>
          <w:rFonts w:cstheme="minorHAnsi"/>
          <w:sz w:val="22"/>
          <w:szCs w:val="21"/>
        </w:rPr>
        <w:t>deca</w:t>
      </w:r>
      <w:proofErr w:type="spellEnd"/>
      <w:r w:rsidRPr="00EE58A2">
        <w:rPr>
          <w:rFonts w:cstheme="minorHAnsi"/>
          <w:sz w:val="22"/>
          <w:szCs w:val="21"/>
        </w:rPr>
        <w:t xml:space="preserve"> bez </w:t>
      </w:r>
      <w:proofErr w:type="spellStart"/>
      <w:r w:rsidRPr="00EE58A2">
        <w:rPr>
          <w:rFonts w:cstheme="minorHAnsi"/>
          <w:sz w:val="22"/>
          <w:szCs w:val="21"/>
        </w:rPr>
        <w:t>roditeljskog</w:t>
      </w:r>
      <w:proofErr w:type="spellEnd"/>
      <w:r w:rsidRPr="00EE58A2">
        <w:rPr>
          <w:rFonts w:cstheme="minorHAnsi"/>
          <w:sz w:val="22"/>
          <w:szCs w:val="21"/>
        </w:rPr>
        <w:t xml:space="preserve"> </w:t>
      </w:r>
      <w:proofErr w:type="spellStart"/>
      <w:r w:rsidRPr="00EE58A2">
        <w:rPr>
          <w:rFonts w:cstheme="minorHAnsi"/>
          <w:sz w:val="22"/>
          <w:szCs w:val="21"/>
        </w:rPr>
        <w:t>staranja</w:t>
      </w:r>
      <w:proofErr w:type="spellEnd"/>
      <w:r w:rsidRPr="00EE58A2">
        <w:rPr>
          <w:rFonts w:cstheme="minorHAnsi"/>
          <w:sz w:val="22"/>
          <w:szCs w:val="21"/>
        </w:rPr>
        <w:t xml:space="preserve">, </w:t>
      </w:r>
      <w:proofErr w:type="spellStart"/>
      <w:r w:rsidRPr="00EE58A2">
        <w:rPr>
          <w:rFonts w:cstheme="minorHAnsi"/>
          <w:sz w:val="22"/>
          <w:szCs w:val="21"/>
        </w:rPr>
        <w:t>deca</w:t>
      </w:r>
      <w:proofErr w:type="spellEnd"/>
      <w:r w:rsidRPr="00EE58A2">
        <w:rPr>
          <w:rFonts w:cstheme="minorHAnsi"/>
          <w:sz w:val="22"/>
          <w:szCs w:val="21"/>
        </w:rPr>
        <w:t xml:space="preserve"> </w:t>
      </w:r>
      <w:proofErr w:type="spellStart"/>
      <w:r w:rsidRPr="00EE58A2">
        <w:rPr>
          <w:rFonts w:cstheme="minorHAnsi"/>
          <w:sz w:val="22"/>
          <w:szCs w:val="21"/>
        </w:rPr>
        <w:t>sa</w:t>
      </w:r>
      <w:proofErr w:type="spellEnd"/>
      <w:r w:rsidRPr="00EE58A2">
        <w:rPr>
          <w:rFonts w:cstheme="minorHAnsi"/>
          <w:sz w:val="22"/>
          <w:szCs w:val="21"/>
        </w:rPr>
        <w:t xml:space="preserve"> </w:t>
      </w:r>
      <w:proofErr w:type="spellStart"/>
      <w:r w:rsidRPr="00EE58A2">
        <w:rPr>
          <w:rFonts w:cstheme="minorHAnsi"/>
          <w:sz w:val="22"/>
          <w:szCs w:val="21"/>
        </w:rPr>
        <w:t>smetnjama</w:t>
      </w:r>
      <w:proofErr w:type="spellEnd"/>
      <w:r w:rsidRPr="00EE58A2">
        <w:rPr>
          <w:rFonts w:cstheme="minorHAnsi"/>
          <w:sz w:val="22"/>
          <w:szCs w:val="21"/>
        </w:rPr>
        <w:t xml:space="preserve"> u </w:t>
      </w:r>
      <w:proofErr w:type="spellStart"/>
      <w:r w:rsidRPr="00EE58A2">
        <w:rPr>
          <w:rFonts w:cstheme="minorHAnsi"/>
          <w:sz w:val="22"/>
          <w:szCs w:val="21"/>
        </w:rPr>
        <w:t>razvoju</w:t>
      </w:r>
      <w:proofErr w:type="spellEnd"/>
      <w:r w:rsidRPr="00EE58A2">
        <w:rPr>
          <w:rFonts w:cstheme="minorHAnsi"/>
          <w:sz w:val="22"/>
          <w:szCs w:val="21"/>
        </w:rPr>
        <w:t xml:space="preserve"> </w:t>
      </w:r>
      <w:proofErr w:type="spellStart"/>
      <w:r w:rsidRPr="00EE58A2">
        <w:rPr>
          <w:rFonts w:cstheme="minorHAnsi"/>
          <w:sz w:val="22"/>
          <w:szCs w:val="21"/>
        </w:rPr>
        <w:t>i</w:t>
      </w:r>
      <w:proofErr w:type="spellEnd"/>
      <w:r w:rsidRPr="00EE58A2">
        <w:rPr>
          <w:rFonts w:cstheme="minorHAnsi"/>
          <w:sz w:val="22"/>
          <w:szCs w:val="21"/>
        </w:rPr>
        <w:t xml:space="preserve"> </w:t>
      </w:r>
      <w:proofErr w:type="spellStart"/>
      <w:r w:rsidRPr="00EE58A2">
        <w:rPr>
          <w:rFonts w:cstheme="minorHAnsi"/>
          <w:sz w:val="22"/>
          <w:szCs w:val="21"/>
        </w:rPr>
        <w:t>invaliditetom</w:t>
      </w:r>
      <w:proofErr w:type="spellEnd"/>
      <w:r w:rsidRPr="00EE58A2">
        <w:rPr>
          <w:rFonts w:cstheme="minorHAnsi"/>
          <w:sz w:val="22"/>
          <w:szCs w:val="21"/>
        </w:rPr>
        <w:t xml:space="preserve"> </w:t>
      </w:r>
      <w:proofErr w:type="spellStart"/>
      <w:r w:rsidRPr="00EE58A2">
        <w:rPr>
          <w:rFonts w:cstheme="minorHAnsi"/>
          <w:sz w:val="22"/>
          <w:szCs w:val="21"/>
        </w:rPr>
        <w:t>i</w:t>
      </w:r>
      <w:proofErr w:type="spellEnd"/>
      <w:r w:rsidRPr="00EE58A2">
        <w:rPr>
          <w:rFonts w:cstheme="minorHAnsi"/>
          <w:sz w:val="22"/>
          <w:szCs w:val="21"/>
        </w:rPr>
        <w:t xml:space="preserve"> </w:t>
      </w:r>
      <w:proofErr w:type="spellStart"/>
      <w:r w:rsidRPr="00EE58A2">
        <w:rPr>
          <w:rFonts w:cstheme="minorHAnsi"/>
          <w:sz w:val="22"/>
          <w:szCs w:val="21"/>
        </w:rPr>
        <w:t>deca</w:t>
      </w:r>
      <w:proofErr w:type="spellEnd"/>
      <w:r w:rsidRPr="00EE58A2">
        <w:rPr>
          <w:rFonts w:cstheme="minorHAnsi"/>
          <w:sz w:val="22"/>
          <w:szCs w:val="21"/>
        </w:rPr>
        <w:t xml:space="preserve"> </w:t>
      </w:r>
      <w:proofErr w:type="spellStart"/>
      <w:r w:rsidRPr="00EE58A2">
        <w:rPr>
          <w:rFonts w:cstheme="minorHAnsi"/>
          <w:sz w:val="22"/>
          <w:szCs w:val="21"/>
        </w:rPr>
        <w:t>iz</w:t>
      </w:r>
      <w:proofErr w:type="spellEnd"/>
      <w:r w:rsidRPr="00EE58A2">
        <w:rPr>
          <w:rFonts w:cstheme="minorHAnsi"/>
          <w:sz w:val="22"/>
          <w:szCs w:val="21"/>
        </w:rPr>
        <w:t xml:space="preserve"> </w:t>
      </w:r>
      <w:proofErr w:type="spellStart"/>
      <w:r w:rsidRPr="00EE58A2">
        <w:rPr>
          <w:rFonts w:cstheme="minorHAnsi"/>
          <w:sz w:val="22"/>
          <w:szCs w:val="21"/>
        </w:rPr>
        <w:t>materijalno</w:t>
      </w:r>
      <w:proofErr w:type="spellEnd"/>
      <w:r w:rsidRPr="00EE58A2">
        <w:rPr>
          <w:rFonts w:cstheme="minorHAnsi"/>
          <w:sz w:val="22"/>
          <w:szCs w:val="21"/>
        </w:rPr>
        <w:t xml:space="preserve"> </w:t>
      </w:r>
      <w:proofErr w:type="spellStart"/>
      <w:r w:rsidRPr="00EE58A2">
        <w:rPr>
          <w:rFonts w:cstheme="minorHAnsi"/>
          <w:sz w:val="22"/>
          <w:szCs w:val="21"/>
        </w:rPr>
        <w:t>ugroženih</w:t>
      </w:r>
      <w:proofErr w:type="spellEnd"/>
      <w:r w:rsidRPr="00EE58A2">
        <w:rPr>
          <w:rFonts w:cstheme="minorHAnsi"/>
          <w:sz w:val="22"/>
          <w:szCs w:val="21"/>
        </w:rPr>
        <w:t xml:space="preserve"> </w:t>
      </w:r>
      <w:proofErr w:type="spellStart"/>
      <w:r w:rsidRPr="00EE58A2">
        <w:rPr>
          <w:rFonts w:cstheme="minorHAnsi"/>
          <w:sz w:val="22"/>
          <w:szCs w:val="21"/>
        </w:rPr>
        <w:t>porodica</w:t>
      </w:r>
      <w:proofErr w:type="spellEnd"/>
      <w:r w:rsidR="00480DA3" w:rsidRPr="00EE58A2">
        <w:rPr>
          <w:rStyle w:val="FootnoteReference"/>
          <w:rFonts w:cstheme="minorHAnsi"/>
          <w:sz w:val="22"/>
          <w:szCs w:val="21"/>
        </w:rPr>
        <w:footnoteReference w:id="4"/>
      </w:r>
      <w:r w:rsidR="00AA247D" w:rsidRPr="00EE58A2">
        <w:rPr>
          <w:rFonts w:cstheme="minorHAnsi"/>
          <w:sz w:val="22"/>
          <w:szCs w:val="21"/>
        </w:rPr>
        <w:t xml:space="preserve">. </w:t>
      </w:r>
      <w:r w:rsidR="00AA247D" w:rsidRPr="00EE58A2">
        <w:rPr>
          <w:rFonts w:cstheme="minorHAnsi"/>
          <w:sz w:val="22"/>
          <w:lang w:val="sr-Latn-RS"/>
        </w:rPr>
        <w:t>Z</w:t>
      </w:r>
      <w:r w:rsidRPr="00EE58A2">
        <w:rPr>
          <w:rFonts w:cstheme="minorHAnsi"/>
          <w:sz w:val="22"/>
        </w:rPr>
        <w:t xml:space="preserve">a </w:t>
      </w:r>
      <w:proofErr w:type="spellStart"/>
      <w:r w:rsidRPr="00EE58A2">
        <w:rPr>
          <w:rFonts w:cstheme="minorHAnsi"/>
          <w:sz w:val="22"/>
        </w:rPr>
        <w:t>decu</w:t>
      </w:r>
      <w:proofErr w:type="spellEnd"/>
      <w:r w:rsidRPr="00EE58A2">
        <w:rPr>
          <w:rFonts w:cstheme="minorHAnsi"/>
          <w:sz w:val="22"/>
        </w:rPr>
        <w:t xml:space="preserve"> bez </w:t>
      </w:r>
      <w:proofErr w:type="spellStart"/>
      <w:r w:rsidRPr="00EE58A2">
        <w:rPr>
          <w:rFonts w:cstheme="minorHAnsi"/>
          <w:sz w:val="22"/>
        </w:rPr>
        <w:t>roditeljskog</w:t>
      </w:r>
      <w:proofErr w:type="spellEnd"/>
      <w:r w:rsidRPr="00EE58A2">
        <w:rPr>
          <w:rFonts w:cstheme="minorHAnsi"/>
          <w:sz w:val="22"/>
        </w:rPr>
        <w:t xml:space="preserve"> </w:t>
      </w:r>
      <w:proofErr w:type="spellStart"/>
      <w:r w:rsidRPr="00EE58A2">
        <w:rPr>
          <w:rFonts w:cstheme="minorHAnsi"/>
          <w:sz w:val="22"/>
        </w:rPr>
        <w:t>staranja</w:t>
      </w:r>
      <w:proofErr w:type="spellEnd"/>
      <w:r w:rsidRPr="00EE58A2">
        <w:rPr>
          <w:rFonts w:cstheme="minorHAnsi"/>
          <w:sz w:val="22"/>
        </w:rPr>
        <w:t xml:space="preserve">, </w:t>
      </w:r>
      <w:proofErr w:type="spellStart"/>
      <w:r w:rsidRPr="00EE58A2">
        <w:rPr>
          <w:rFonts w:cstheme="minorHAnsi"/>
          <w:sz w:val="22"/>
        </w:rPr>
        <w:t>decu</w:t>
      </w:r>
      <w:proofErr w:type="spellEnd"/>
      <w:r w:rsidRPr="00EE58A2">
        <w:rPr>
          <w:rFonts w:cstheme="minorHAnsi"/>
          <w:sz w:val="22"/>
        </w:rPr>
        <w:t xml:space="preserve"> </w:t>
      </w:r>
      <w:proofErr w:type="spellStart"/>
      <w:r w:rsidRPr="00EE58A2">
        <w:rPr>
          <w:rFonts w:cstheme="minorHAnsi"/>
          <w:sz w:val="22"/>
        </w:rPr>
        <w:t>sa</w:t>
      </w:r>
      <w:proofErr w:type="spellEnd"/>
      <w:r w:rsidRPr="00EE58A2">
        <w:rPr>
          <w:rFonts w:cstheme="minorHAnsi"/>
          <w:sz w:val="22"/>
        </w:rPr>
        <w:t xml:space="preserve"> </w:t>
      </w:r>
      <w:proofErr w:type="spellStart"/>
      <w:r w:rsidRPr="00EE58A2">
        <w:rPr>
          <w:rFonts w:cstheme="minorHAnsi"/>
          <w:sz w:val="22"/>
        </w:rPr>
        <w:t>smetnjama</w:t>
      </w:r>
      <w:proofErr w:type="spellEnd"/>
      <w:r w:rsidRPr="00EE58A2">
        <w:rPr>
          <w:rFonts w:cstheme="minorHAnsi"/>
          <w:sz w:val="22"/>
        </w:rPr>
        <w:t xml:space="preserve"> u </w:t>
      </w:r>
      <w:proofErr w:type="spellStart"/>
      <w:r w:rsidRPr="00EE58A2">
        <w:rPr>
          <w:rFonts w:cstheme="minorHAnsi"/>
          <w:sz w:val="22"/>
        </w:rPr>
        <w:t>razvoju</w:t>
      </w:r>
      <w:proofErr w:type="spellEnd"/>
      <w:r w:rsidRPr="00EE58A2">
        <w:rPr>
          <w:rFonts w:cstheme="minorHAnsi"/>
          <w:sz w:val="22"/>
        </w:rPr>
        <w:t xml:space="preserve"> </w:t>
      </w:r>
      <w:proofErr w:type="spellStart"/>
      <w:r w:rsidRPr="00EE58A2">
        <w:rPr>
          <w:rFonts w:cstheme="minorHAnsi"/>
          <w:sz w:val="22"/>
        </w:rPr>
        <w:t>i</w:t>
      </w:r>
      <w:proofErr w:type="spellEnd"/>
      <w:r w:rsidRPr="00EE58A2">
        <w:rPr>
          <w:rFonts w:cstheme="minorHAnsi"/>
          <w:sz w:val="22"/>
        </w:rPr>
        <w:t xml:space="preserve"> </w:t>
      </w:r>
      <w:proofErr w:type="spellStart"/>
      <w:r w:rsidRPr="00EE58A2">
        <w:rPr>
          <w:rFonts w:cstheme="minorHAnsi"/>
          <w:sz w:val="22"/>
        </w:rPr>
        <w:t>decu</w:t>
      </w:r>
      <w:proofErr w:type="spellEnd"/>
      <w:r w:rsidRPr="00EE58A2">
        <w:rPr>
          <w:rFonts w:cstheme="minorHAnsi"/>
          <w:sz w:val="22"/>
        </w:rPr>
        <w:t xml:space="preserve"> </w:t>
      </w:r>
      <w:proofErr w:type="spellStart"/>
      <w:r w:rsidRPr="00EE58A2">
        <w:rPr>
          <w:rFonts w:cstheme="minorHAnsi"/>
          <w:sz w:val="22"/>
        </w:rPr>
        <w:t>korisnika</w:t>
      </w:r>
      <w:proofErr w:type="spellEnd"/>
      <w:r w:rsidRPr="00EE58A2">
        <w:rPr>
          <w:rFonts w:cstheme="minorHAnsi"/>
          <w:sz w:val="22"/>
        </w:rPr>
        <w:t xml:space="preserve"> NSP, </w:t>
      </w:r>
      <w:proofErr w:type="spellStart"/>
      <w:r w:rsidRPr="00EE58A2">
        <w:rPr>
          <w:rFonts w:cstheme="minorHAnsi"/>
          <w:sz w:val="22"/>
        </w:rPr>
        <w:t>učešće</w:t>
      </w:r>
      <w:proofErr w:type="spellEnd"/>
      <w:r w:rsidRPr="00EE58A2">
        <w:rPr>
          <w:rFonts w:cstheme="minorHAnsi"/>
          <w:sz w:val="22"/>
        </w:rPr>
        <w:t xml:space="preserve"> od 20% se </w:t>
      </w:r>
      <w:proofErr w:type="spellStart"/>
      <w:r w:rsidRPr="00EE58A2">
        <w:rPr>
          <w:rFonts w:cstheme="minorHAnsi"/>
          <w:sz w:val="22"/>
        </w:rPr>
        <w:t>pokriva</w:t>
      </w:r>
      <w:proofErr w:type="spellEnd"/>
      <w:r w:rsidRPr="00EE58A2">
        <w:rPr>
          <w:rFonts w:cstheme="minorHAnsi"/>
          <w:sz w:val="22"/>
        </w:rPr>
        <w:t xml:space="preserve"> </w:t>
      </w:r>
      <w:proofErr w:type="spellStart"/>
      <w:r w:rsidRPr="00EE58A2">
        <w:rPr>
          <w:rFonts w:cstheme="minorHAnsi"/>
          <w:sz w:val="22"/>
        </w:rPr>
        <w:t>sa</w:t>
      </w:r>
      <w:proofErr w:type="spellEnd"/>
      <w:r w:rsidRPr="00EE58A2">
        <w:rPr>
          <w:rFonts w:cstheme="minorHAnsi"/>
          <w:sz w:val="22"/>
        </w:rPr>
        <w:t xml:space="preserve"> </w:t>
      </w:r>
      <w:proofErr w:type="spellStart"/>
      <w:r w:rsidRPr="00EE58A2">
        <w:rPr>
          <w:rFonts w:cstheme="minorHAnsi"/>
          <w:sz w:val="22"/>
        </w:rPr>
        <w:t>nacionalnog</w:t>
      </w:r>
      <w:proofErr w:type="spellEnd"/>
      <w:r w:rsidRPr="00EE58A2">
        <w:rPr>
          <w:rFonts w:cstheme="minorHAnsi"/>
          <w:sz w:val="22"/>
        </w:rPr>
        <w:t xml:space="preserve"> </w:t>
      </w:r>
      <w:proofErr w:type="spellStart"/>
      <w:r w:rsidRPr="00EE58A2">
        <w:rPr>
          <w:rFonts w:cstheme="minorHAnsi"/>
          <w:sz w:val="22"/>
        </w:rPr>
        <w:t>nivoa</w:t>
      </w:r>
      <w:proofErr w:type="spellEnd"/>
      <w:r w:rsidRPr="00EE58A2">
        <w:rPr>
          <w:rFonts w:cstheme="minorHAnsi"/>
          <w:sz w:val="22"/>
        </w:rPr>
        <w:t xml:space="preserve"> (</w:t>
      </w:r>
      <w:proofErr w:type="spellStart"/>
      <w:r w:rsidRPr="00EE58A2">
        <w:rPr>
          <w:rFonts w:cstheme="minorHAnsi"/>
          <w:sz w:val="22"/>
        </w:rPr>
        <w:t>Ministarstvo</w:t>
      </w:r>
      <w:proofErr w:type="spellEnd"/>
      <w:r w:rsidRPr="00EE58A2">
        <w:rPr>
          <w:rFonts w:cstheme="minorHAnsi"/>
          <w:sz w:val="22"/>
        </w:rPr>
        <w:t xml:space="preserve"> za rad, </w:t>
      </w:r>
      <w:proofErr w:type="spellStart"/>
      <w:r w:rsidRPr="00EE58A2">
        <w:rPr>
          <w:rFonts w:cstheme="minorHAnsi"/>
          <w:sz w:val="22"/>
        </w:rPr>
        <w:t>zapošljavanje</w:t>
      </w:r>
      <w:proofErr w:type="spellEnd"/>
      <w:r w:rsidRPr="00EE58A2">
        <w:rPr>
          <w:rFonts w:cstheme="minorHAnsi"/>
          <w:sz w:val="22"/>
        </w:rPr>
        <w:t xml:space="preserve">, </w:t>
      </w:r>
      <w:proofErr w:type="spellStart"/>
      <w:r w:rsidRPr="00EE58A2">
        <w:rPr>
          <w:rFonts w:cstheme="minorHAnsi"/>
          <w:sz w:val="22"/>
        </w:rPr>
        <w:t>socijalna</w:t>
      </w:r>
      <w:proofErr w:type="spellEnd"/>
      <w:r w:rsidRPr="00EE58A2">
        <w:rPr>
          <w:rFonts w:cstheme="minorHAnsi"/>
          <w:sz w:val="22"/>
        </w:rPr>
        <w:t xml:space="preserve"> </w:t>
      </w:r>
      <w:proofErr w:type="spellStart"/>
      <w:r w:rsidRPr="00EE58A2">
        <w:rPr>
          <w:rFonts w:cstheme="minorHAnsi"/>
          <w:sz w:val="22"/>
        </w:rPr>
        <w:t>i</w:t>
      </w:r>
      <w:proofErr w:type="spellEnd"/>
      <w:r w:rsidRPr="00EE58A2">
        <w:rPr>
          <w:rFonts w:cstheme="minorHAnsi"/>
          <w:sz w:val="22"/>
        </w:rPr>
        <w:t xml:space="preserve"> </w:t>
      </w:r>
      <w:proofErr w:type="spellStart"/>
      <w:r w:rsidRPr="00EE58A2">
        <w:rPr>
          <w:rFonts w:cstheme="minorHAnsi"/>
          <w:sz w:val="22"/>
        </w:rPr>
        <w:t>boračka</w:t>
      </w:r>
      <w:proofErr w:type="spellEnd"/>
      <w:r w:rsidRPr="00EE58A2">
        <w:rPr>
          <w:rFonts w:cstheme="minorHAnsi"/>
          <w:sz w:val="22"/>
        </w:rPr>
        <w:t xml:space="preserve"> </w:t>
      </w:r>
      <w:proofErr w:type="spellStart"/>
      <w:r w:rsidRPr="00EE58A2">
        <w:rPr>
          <w:rFonts w:cstheme="minorHAnsi"/>
          <w:sz w:val="22"/>
        </w:rPr>
        <w:t>pitanja</w:t>
      </w:r>
      <w:proofErr w:type="spellEnd"/>
      <w:r w:rsidRPr="00EE58A2">
        <w:rPr>
          <w:rFonts w:cstheme="minorHAnsi"/>
          <w:sz w:val="22"/>
        </w:rPr>
        <w:t xml:space="preserve">), a za </w:t>
      </w:r>
      <w:proofErr w:type="spellStart"/>
      <w:r w:rsidRPr="00EE58A2">
        <w:rPr>
          <w:rFonts w:cstheme="minorHAnsi"/>
          <w:sz w:val="22"/>
        </w:rPr>
        <w:t>decu</w:t>
      </w:r>
      <w:proofErr w:type="spellEnd"/>
      <w:r w:rsidRPr="00EE58A2">
        <w:rPr>
          <w:rFonts w:cstheme="minorHAnsi"/>
          <w:sz w:val="22"/>
        </w:rPr>
        <w:t xml:space="preserve"> </w:t>
      </w:r>
      <w:proofErr w:type="spellStart"/>
      <w:r w:rsidRPr="00EE58A2">
        <w:rPr>
          <w:rFonts w:cstheme="minorHAnsi"/>
          <w:sz w:val="22"/>
        </w:rPr>
        <w:t>iz</w:t>
      </w:r>
      <w:proofErr w:type="spellEnd"/>
      <w:r w:rsidRPr="00EE58A2">
        <w:rPr>
          <w:rFonts w:cstheme="minorHAnsi"/>
          <w:sz w:val="22"/>
        </w:rPr>
        <w:t xml:space="preserve"> </w:t>
      </w:r>
      <w:proofErr w:type="spellStart"/>
      <w:r w:rsidRPr="00EE58A2">
        <w:rPr>
          <w:rFonts w:cstheme="minorHAnsi"/>
          <w:sz w:val="22"/>
        </w:rPr>
        <w:t>materijalno</w:t>
      </w:r>
      <w:proofErr w:type="spellEnd"/>
      <w:r w:rsidRPr="00EE58A2">
        <w:rPr>
          <w:rFonts w:cstheme="minorHAnsi"/>
          <w:sz w:val="22"/>
        </w:rPr>
        <w:t xml:space="preserve"> </w:t>
      </w:r>
      <w:proofErr w:type="spellStart"/>
      <w:r w:rsidRPr="00EE58A2">
        <w:rPr>
          <w:rFonts w:cstheme="minorHAnsi"/>
          <w:sz w:val="22"/>
        </w:rPr>
        <w:t>ugroženih</w:t>
      </w:r>
      <w:proofErr w:type="spellEnd"/>
      <w:r w:rsidRPr="00EE58A2">
        <w:rPr>
          <w:rFonts w:cstheme="minorHAnsi"/>
          <w:sz w:val="22"/>
        </w:rPr>
        <w:t xml:space="preserve"> </w:t>
      </w:r>
      <w:proofErr w:type="spellStart"/>
      <w:r w:rsidRPr="00EE58A2">
        <w:rPr>
          <w:rFonts w:cstheme="minorHAnsi"/>
          <w:sz w:val="22"/>
        </w:rPr>
        <w:t>porodica</w:t>
      </w:r>
      <w:proofErr w:type="spellEnd"/>
      <w:r w:rsidRPr="00EE58A2">
        <w:rPr>
          <w:rFonts w:cstheme="minorHAnsi"/>
          <w:sz w:val="22"/>
        </w:rPr>
        <w:t xml:space="preserve"> </w:t>
      </w:r>
      <w:proofErr w:type="spellStart"/>
      <w:r w:rsidRPr="00EE58A2">
        <w:rPr>
          <w:rFonts w:cstheme="minorHAnsi"/>
          <w:sz w:val="22"/>
        </w:rPr>
        <w:t>prema</w:t>
      </w:r>
      <w:proofErr w:type="spellEnd"/>
      <w:r w:rsidRPr="00EE58A2">
        <w:rPr>
          <w:rFonts w:cstheme="minorHAnsi"/>
          <w:sz w:val="22"/>
        </w:rPr>
        <w:t xml:space="preserve"> </w:t>
      </w:r>
      <w:proofErr w:type="spellStart"/>
      <w:r w:rsidRPr="00EE58A2">
        <w:rPr>
          <w:rFonts w:cstheme="minorHAnsi"/>
          <w:sz w:val="22"/>
        </w:rPr>
        <w:t>kriterijumima</w:t>
      </w:r>
      <w:proofErr w:type="spellEnd"/>
      <w:r w:rsidRPr="00EE58A2">
        <w:rPr>
          <w:rFonts w:cstheme="minorHAnsi"/>
          <w:sz w:val="22"/>
        </w:rPr>
        <w:t xml:space="preserve"> JSL </w:t>
      </w:r>
      <w:proofErr w:type="spellStart"/>
      <w:r w:rsidRPr="00EE58A2">
        <w:rPr>
          <w:rFonts w:cstheme="minorHAnsi"/>
          <w:sz w:val="22"/>
        </w:rPr>
        <w:t>ovu</w:t>
      </w:r>
      <w:proofErr w:type="spellEnd"/>
      <w:r w:rsidRPr="00EE58A2">
        <w:rPr>
          <w:rFonts w:cstheme="minorHAnsi"/>
          <w:sz w:val="22"/>
        </w:rPr>
        <w:t xml:space="preserve"> </w:t>
      </w:r>
      <w:proofErr w:type="spellStart"/>
      <w:r w:rsidRPr="00EE58A2">
        <w:rPr>
          <w:rFonts w:cstheme="minorHAnsi"/>
          <w:sz w:val="22"/>
        </w:rPr>
        <w:t>participaciju</w:t>
      </w:r>
      <w:proofErr w:type="spellEnd"/>
      <w:r w:rsidRPr="00EE58A2">
        <w:rPr>
          <w:rFonts w:cstheme="minorHAnsi"/>
          <w:sz w:val="22"/>
        </w:rPr>
        <w:t xml:space="preserve"> </w:t>
      </w:r>
      <w:proofErr w:type="spellStart"/>
      <w:r w:rsidRPr="00EE58A2">
        <w:rPr>
          <w:rFonts w:cstheme="minorHAnsi"/>
          <w:sz w:val="22"/>
        </w:rPr>
        <w:t>plaća</w:t>
      </w:r>
      <w:proofErr w:type="spellEnd"/>
      <w:r w:rsidRPr="00EE58A2">
        <w:rPr>
          <w:rFonts w:cstheme="minorHAnsi"/>
          <w:sz w:val="22"/>
        </w:rPr>
        <w:t xml:space="preserve"> </w:t>
      </w:r>
      <w:proofErr w:type="spellStart"/>
      <w:r w:rsidRPr="00EE58A2">
        <w:rPr>
          <w:rFonts w:cstheme="minorHAnsi"/>
          <w:sz w:val="22"/>
        </w:rPr>
        <w:t>sama</w:t>
      </w:r>
      <w:proofErr w:type="spellEnd"/>
      <w:r w:rsidRPr="00EE58A2">
        <w:rPr>
          <w:rFonts w:cstheme="minorHAnsi"/>
          <w:sz w:val="22"/>
        </w:rPr>
        <w:t xml:space="preserve"> </w:t>
      </w:r>
      <w:r w:rsidRPr="00EE58A2">
        <w:rPr>
          <w:rFonts w:cstheme="minorHAnsi"/>
          <w:sz w:val="22"/>
          <w:szCs w:val="21"/>
        </w:rPr>
        <w:t>JLS.</w:t>
      </w:r>
      <w:r w:rsidR="0052300E" w:rsidRPr="00EE58A2">
        <w:rPr>
          <w:rFonts w:cstheme="minorHAnsi"/>
          <w:sz w:val="22"/>
          <w:szCs w:val="21"/>
        </w:rPr>
        <w:t xml:space="preserve"> </w:t>
      </w:r>
      <w:r w:rsidR="00EE58A2" w:rsidRPr="00EE58A2">
        <w:rPr>
          <w:rFonts w:cstheme="minorHAnsi"/>
          <w:sz w:val="22"/>
          <w:szCs w:val="21"/>
        </w:rPr>
        <w:t xml:space="preserve">Sa </w:t>
      </w:r>
      <w:proofErr w:type="spellStart"/>
      <w:r w:rsidR="00EE58A2" w:rsidRPr="00EE58A2">
        <w:rPr>
          <w:rFonts w:cstheme="minorHAnsi"/>
          <w:sz w:val="22"/>
          <w:szCs w:val="21"/>
        </w:rPr>
        <w:t>nacionalnog</w:t>
      </w:r>
      <w:proofErr w:type="spellEnd"/>
      <w:r w:rsidR="00EE58A2" w:rsidRPr="00EE58A2">
        <w:rPr>
          <w:rFonts w:cstheme="minorHAnsi"/>
          <w:sz w:val="22"/>
          <w:szCs w:val="21"/>
        </w:rPr>
        <w:t xml:space="preserve"> </w:t>
      </w:r>
      <w:proofErr w:type="spellStart"/>
      <w:r w:rsidR="00EE58A2" w:rsidRPr="00EE58A2">
        <w:rPr>
          <w:rFonts w:cstheme="minorHAnsi"/>
          <w:sz w:val="22"/>
          <w:szCs w:val="21"/>
        </w:rPr>
        <w:t>nivoa</w:t>
      </w:r>
      <w:proofErr w:type="spellEnd"/>
      <w:r w:rsidR="00EE58A2" w:rsidRPr="00EE58A2">
        <w:rPr>
          <w:rFonts w:cstheme="minorHAnsi"/>
          <w:sz w:val="22"/>
          <w:szCs w:val="21"/>
        </w:rPr>
        <w:t xml:space="preserve"> </w:t>
      </w:r>
      <w:proofErr w:type="spellStart"/>
      <w:r w:rsidR="00EE58A2" w:rsidRPr="00EE58A2">
        <w:rPr>
          <w:rFonts w:cstheme="minorHAnsi"/>
          <w:sz w:val="22"/>
          <w:szCs w:val="21"/>
        </w:rPr>
        <w:t>finansiran</w:t>
      </w:r>
      <w:proofErr w:type="spellEnd"/>
      <w:r w:rsidR="00EE58A2" w:rsidRPr="00EE58A2">
        <w:rPr>
          <w:rFonts w:cstheme="minorHAnsi"/>
          <w:sz w:val="22"/>
          <w:szCs w:val="21"/>
        </w:rPr>
        <w:t xml:space="preserve"> je </w:t>
      </w:r>
      <w:proofErr w:type="spellStart"/>
      <w:r w:rsidR="00EE58A2" w:rsidRPr="00EE58A2">
        <w:rPr>
          <w:rFonts w:cstheme="minorHAnsi"/>
          <w:sz w:val="22"/>
          <w:szCs w:val="21"/>
        </w:rPr>
        <w:t>i</w:t>
      </w:r>
      <w:proofErr w:type="spellEnd"/>
      <w:r w:rsidR="00EE58A2" w:rsidRPr="00EE58A2">
        <w:rPr>
          <w:rFonts w:cstheme="minorHAnsi"/>
          <w:sz w:val="22"/>
          <w:szCs w:val="21"/>
        </w:rPr>
        <w:t xml:space="preserve"> </w:t>
      </w:r>
      <w:proofErr w:type="spellStart"/>
      <w:r w:rsidR="00EE58A2" w:rsidRPr="00EE58A2">
        <w:rPr>
          <w:rFonts w:cstheme="minorHAnsi"/>
          <w:sz w:val="22"/>
          <w:szCs w:val="21"/>
        </w:rPr>
        <w:t>četvorosatni</w:t>
      </w:r>
      <w:proofErr w:type="spellEnd"/>
      <w:r w:rsidR="00EE58A2" w:rsidRPr="00EE58A2">
        <w:rPr>
          <w:rFonts w:cstheme="minorHAnsi"/>
          <w:sz w:val="22"/>
          <w:szCs w:val="21"/>
        </w:rPr>
        <w:t xml:space="preserve"> PPP </w:t>
      </w:r>
      <w:proofErr w:type="spellStart"/>
      <w:r w:rsidR="00EE58A2" w:rsidRPr="00EE58A2">
        <w:rPr>
          <w:rFonts w:cstheme="minorHAnsi"/>
          <w:sz w:val="22"/>
          <w:szCs w:val="21"/>
        </w:rPr>
        <w:t>ali</w:t>
      </w:r>
      <w:proofErr w:type="spellEnd"/>
      <w:r w:rsidR="00EE58A2" w:rsidRPr="00EE58A2">
        <w:rPr>
          <w:rFonts w:cstheme="minorHAnsi"/>
          <w:sz w:val="22"/>
          <w:szCs w:val="21"/>
        </w:rPr>
        <w:t xml:space="preserve"> </w:t>
      </w:r>
      <w:proofErr w:type="spellStart"/>
      <w:r w:rsidR="00EE58A2" w:rsidRPr="00EE58A2">
        <w:rPr>
          <w:rFonts w:cstheme="minorHAnsi"/>
          <w:sz w:val="22"/>
          <w:szCs w:val="21"/>
        </w:rPr>
        <w:t>samo</w:t>
      </w:r>
      <w:proofErr w:type="spellEnd"/>
      <w:r w:rsidR="00EE58A2" w:rsidRPr="00EE58A2">
        <w:rPr>
          <w:rFonts w:cstheme="minorHAnsi"/>
          <w:sz w:val="22"/>
          <w:szCs w:val="21"/>
        </w:rPr>
        <w:t xml:space="preserve"> </w:t>
      </w:r>
      <w:proofErr w:type="spellStart"/>
      <w:r w:rsidR="00EE58A2" w:rsidRPr="00EE58A2">
        <w:rPr>
          <w:rFonts w:cstheme="minorHAnsi"/>
          <w:sz w:val="22"/>
          <w:szCs w:val="21"/>
        </w:rPr>
        <w:t>na</w:t>
      </w:r>
      <w:proofErr w:type="spellEnd"/>
      <w:r w:rsidR="00EE58A2" w:rsidRPr="00EE58A2">
        <w:rPr>
          <w:rFonts w:cstheme="minorHAnsi"/>
          <w:sz w:val="22"/>
          <w:szCs w:val="21"/>
        </w:rPr>
        <w:t xml:space="preserve"> </w:t>
      </w:r>
      <w:proofErr w:type="spellStart"/>
      <w:r w:rsidR="00EE58A2" w:rsidRPr="00EE58A2">
        <w:rPr>
          <w:rFonts w:cstheme="minorHAnsi"/>
          <w:sz w:val="22"/>
          <w:szCs w:val="21"/>
        </w:rPr>
        <w:t>nivou</w:t>
      </w:r>
      <w:proofErr w:type="spellEnd"/>
      <w:r w:rsidR="00EE58A2" w:rsidRPr="00EE58A2">
        <w:rPr>
          <w:rFonts w:cstheme="minorHAnsi"/>
          <w:sz w:val="22"/>
          <w:szCs w:val="21"/>
        </w:rPr>
        <w:t xml:space="preserve"> </w:t>
      </w:r>
      <w:proofErr w:type="spellStart"/>
      <w:r w:rsidR="00EE58A2" w:rsidRPr="00EE58A2">
        <w:rPr>
          <w:rFonts w:cstheme="minorHAnsi"/>
          <w:sz w:val="22"/>
          <w:szCs w:val="21"/>
        </w:rPr>
        <w:t>zarada</w:t>
      </w:r>
      <w:proofErr w:type="spellEnd"/>
      <w:r w:rsidR="00EE58A2" w:rsidRPr="00EE58A2">
        <w:rPr>
          <w:rFonts w:cstheme="minorHAnsi"/>
          <w:sz w:val="22"/>
          <w:szCs w:val="21"/>
        </w:rPr>
        <w:t xml:space="preserve"> za </w:t>
      </w:r>
      <w:proofErr w:type="spellStart"/>
      <w:r w:rsidR="00EE58A2" w:rsidRPr="00EE58A2">
        <w:rPr>
          <w:rFonts w:cstheme="minorHAnsi"/>
          <w:sz w:val="22"/>
          <w:szCs w:val="21"/>
        </w:rPr>
        <w:t>vaspitače</w:t>
      </w:r>
      <w:proofErr w:type="spellEnd"/>
      <w:r w:rsidR="00EE58A2" w:rsidRPr="00EE58A2">
        <w:rPr>
          <w:rFonts w:cstheme="minorHAnsi"/>
          <w:sz w:val="22"/>
          <w:szCs w:val="21"/>
        </w:rPr>
        <w:t xml:space="preserve"> koji </w:t>
      </w:r>
      <w:proofErr w:type="spellStart"/>
      <w:r w:rsidR="00EE58A2" w:rsidRPr="00EE58A2">
        <w:rPr>
          <w:rFonts w:cstheme="minorHAnsi"/>
          <w:sz w:val="22"/>
          <w:szCs w:val="21"/>
        </w:rPr>
        <w:t>pružaju</w:t>
      </w:r>
      <w:proofErr w:type="spellEnd"/>
      <w:r w:rsidR="00EE58A2" w:rsidRPr="00EE58A2">
        <w:rPr>
          <w:rFonts w:cstheme="minorHAnsi"/>
          <w:sz w:val="22"/>
          <w:szCs w:val="21"/>
        </w:rPr>
        <w:t xml:space="preserve"> taj program. </w:t>
      </w:r>
    </w:p>
    <w:p w14:paraId="59630486" w14:textId="77777777" w:rsidR="00100E03" w:rsidRPr="00B374A1" w:rsidRDefault="00100E03" w:rsidP="00100E03">
      <w:pPr>
        <w:pStyle w:val="MediumGrid1-Accent21"/>
        <w:widowControl w:val="0"/>
        <w:autoSpaceDE w:val="0"/>
        <w:autoSpaceDN w:val="0"/>
        <w:adjustRightInd w:val="0"/>
        <w:spacing w:before="0" w:after="0"/>
        <w:ind w:left="0"/>
        <w:jc w:val="both"/>
        <w:rPr>
          <w:rFonts w:asciiTheme="minorHAnsi" w:hAnsiTheme="minorHAnsi" w:cstheme="minorHAnsi"/>
          <w:b/>
          <w:i/>
          <w:sz w:val="22"/>
          <w:lang w:val="sr-Latn-CS"/>
        </w:rPr>
      </w:pPr>
    </w:p>
    <w:p w14:paraId="6774167E" w14:textId="388461AB" w:rsidR="00100E03" w:rsidRPr="0052300E" w:rsidRDefault="0052300E" w:rsidP="0052300E">
      <w:pPr>
        <w:spacing w:line="276" w:lineRule="auto"/>
        <w:jc w:val="both"/>
        <w:rPr>
          <w:rFonts w:asciiTheme="minorHAnsi" w:hAnsiTheme="minorHAnsi" w:cstheme="minorHAnsi"/>
          <w:sz w:val="22"/>
          <w:shd w:val="clear" w:color="auto" w:fill="FFFFFF"/>
          <w:lang w:val="sr-Latn-CS"/>
        </w:rPr>
      </w:pPr>
      <w:r w:rsidRPr="00B374A1">
        <w:rPr>
          <w:rFonts w:asciiTheme="minorHAnsi" w:hAnsiTheme="minorHAnsi" w:cstheme="minorHAnsi"/>
          <w:b/>
          <w:i/>
          <w:sz w:val="22"/>
          <w:shd w:val="clear" w:color="auto" w:fill="FFFFFF"/>
        </w:rPr>
        <w:t xml:space="preserve">Za </w:t>
      </w:r>
      <w:proofErr w:type="spellStart"/>
      <w:r w:rsidRPr="00B374A1">
        <w:rPr>
          <w:rFonts w:asciiTheme="minorHAnsi" w:hAnsiTheme="minorHAnsi" w:cstheme="minorHAnsi"/>
          <w:b/>
          <w:i/>
          <w:sz w:val="22"/>
          <w:shd w:val="clear" w:color="auto" w:fill="FFFFFF"/>
        </w:rPr>
        <w:t>osnovno</w:t>
      </w:r>
      <w:proofErr w:type="spellEnd"/>
      <w:r w:rsidRPr="00B374A1">
        <w:rPr>
          <w:rFonts w:asciiTheme="minorHAnsi" w:hAnsiTheme="minorHAnsi" w:cstheme="minorHAnsi"/>
          <w:b/>
          <w:i/>
          <w:sz w:val="22"/>
          <w:shd w:val="clear" w:color="auto" w:fill="FFFFFF"/>
        </w:rPr>
        <w:t xml:space="preserve"> </w:t>
      </w:r>
      <w:proofErr w:type="spellStart"/>
      <w:r w:rsidRPr="00B374A1">
        <w:rPr>
          <w:rFonts w:asciiTheme="minorHAnsi" w:hAnsiTheme="minorHAnsi" w:cstheme="minorHAnsi"/>
          <w:b/>
          <w:i/>
          <w:sz w:val="22"/>
          <w:shd w:val="clear" w:color="auto" w:fill="FFFFFF"/>
        </w:rPr>
        <w:t>i</w:t>
      </w:r>
      <w:proofErr w:type="spellEnd"/>
      <w:r w:rsidRPr="00B374A1">
        <w:rPr>
          <w:rFonts w:asciiTheme="minorHAnsi" w:hAnsiTheme="minorHAnsi" w:cstheme="minorHAnsi"/>
          <w:b/>
          <w:i/>
          <w:sz w:val="22"/>
          <w:shd w:val="clear" w:color="auto" w:fill="FFFFFF"/>
        </w:rPr>
        <w:t xml:space="preserve"> </w:t>
      </w:r>
      <w:proofErr w:type="spellStart"/>
      <w:r w:rsidRPr="00B374A1">
        <w:rPr>
          <w:rFonts w:asciiTheme="minorHAnsi" w:hAnsiTheme="minorHAnsi" w:cstheme="minorHAnsi"/>
          <w:b/>
          <w:i/>
          <w:sz w:val="22"/>
          <w:shd w:val="clear" w:color="auto" w:fill="FFFFFF"/>
        </w:rPr>
        <w:t>srednje</w:t>
      </w:r>
      <w:proofErr w:type="spellEnd"/>
      <w:r w:rsidRPr="00B374A1">
        <w:rPr>
          <w:rFonts w:asciiTheme="minorHAnsi" w:hAnsiTheme="minorHAnsi" w:cstheme="minorHAnsi"/>
          <w:b/>
          <w:i/>
          <w:sz w:val="22"/>
          <w:shd w:val="clear" w:color="auto" w:fill="FFFFFF"/>
        </w:rPr>
        <w:t xml:space="preserve"> </w:t>
      </w:r>
      <w:proofErr w:type="spellStart"/>
      <w:r w:rsidRPr="00B374A1">
        <w:rPr>
          <w:rFonts w:asciiTheme="minorHAnsi" w:hAnsiTheme="minorHAnsi" w:cstheme="minorHAnsi"/>
          <w:b/>
          <w:i/>
          <w:sz w:val="22"/>
          <w:shd w:val="clear" w:color="auto" w:fill="FFFFFF"/>
        </w:rPr>
        <w:t>obrazovanje</w:t>
      </w:r>
      <w:proofErr w:type="spellEnd"/>
      <w:r w:rsidR="00100E03" w:rsidRPr="00B374A1">
        <w:rPr>
          <w:rFonts w:asciiTheme="minorHAnsi" w:hAnsiTheme="minorHAnsi" w:cstheme="minorHAnsi"/>
          <w:b/>
          <w:i/>
          <w:sz w:val="22"/>
          <w:shd w:val="clear" w:color="auto" w:fill="FFFFFF"/>
          <w:lang w:val="sr-Latn-CS"/>
        </w:rPr>
        <w:t xml:space="preserve"> </w:t>
      </w:r>
      <w:proofErr w:type="spellStart"/>
      <w:r w:rsidR="00100E03" w:rsidRPr="00B374A1">
        <w:rPr>
          <w:rFonts w:asciiTheme="minorHAnsi" w:hAnsiTheme="minorHAnsi" w:cstheme="minorHAnsi"/>
          <w:b/>
          <w:i/>
          <w:sz w:val="22"/>
          <w:shd w:val="clear" w:color="auto" w:fill="FFFFFF"/>
        </w:rPr>
        <w:t>jedinice</w:t>
      </w:r>
      <w:proofErr w:type="spellEnd"/>
      <w:r w:rsidR="00100E03" w:rsidRPr="00B374A1">
        <w:rPr>
          <w:rFonts w:asciiTheme="minorHAnsi" w:hAnsiTheme="minorHAnsi" w:cstheme="minorHAnsi"/>
          <w:b/>
          <w:i/>
          <w:sz w:val="22"/>
          <w:shd w:val="clear" w:color="auto" w:fill="FFFFFF"/>
          <w:lang w:val="sr-Latn-CS"/>
        </w:rPr>
        <w:t xml:space="preserve"> J</w:t>
      </w:r>
      <w:r w:rsidR="00100E03" w:rsidRPr="00B374A1">
        <w:rPr>
          <w:rFonts w:asciiTheme="minorHAnsi" w:hAnsiTheme="minorHAnsi" w:cstheme="minorHAnsi"/>
          <w:b/>
          <w:i/>
          <w:sz w:val="22"/>
          <w:shd w:val="clear" w:color="auto" w:fill="FFFFFF"/>
        </w:rPr>
        <w:t>LS</w:t>
      </w:r>
      <w:r w:rsidR="00100E03" w:rsidRPr="00B374A1">
        <w:rPr>
          <w:rFonts w:asciiTheme="minorHAnsi" w:hAnsiTheme="minorHAnsi" w:cstheme="minorHAnsi"/>
          <w:b/>
          <w:i/>
          <w:sz w:val="22"/>
          <w:shd w:val="clear" w:color="auto" w:fill="FFFFFF"/>
          <w:lang w:val="sr-Latn-CS"/>
        </w:rPr>
        <w:t xml:space="preserve"> </w:t>
      </w:r>
      <w:proofErr w:type="spellStart"/>
      <w:r w:rsidR="00100E03" w:rsidRPr="00B374A1">
        <w:rPr>
          <w:rFonts w:asciiTheme="minorHAnsi" w:hAnsiTheme="minorHAnsi" w:cstheme="minorHAnsi"/>
          <w:b/>
          <w:i/>
          <w:sz w:val="22"/>
          <w:shd w:val="clear" w:color="auto" w:fill="FFFFFF"/>
        </w:rPr>
        <w:t>obezbe</w:t>
      </w:r>
      <w:proofErr w:type="spellEnd"/>
      <w:r w:rsidR="00100E03" w:rsidRPr="00B374A1">
        <w:rPr>
          <w:rFonts w:asciiTheme="minorHAnsi" w:hAnsiTheme="minorHAnsi" w:cstheme="minorHAnsi"/>
          <w:b/>
          <w:i/>
          <w:sz w:val="22"/>
          <w:shd w:val="clear" w:color="auto" w:fill="FFFFFF"/>
          <w:lang w:val="sr-Latn-CS"/>
        </w:rPr>
        <w:t>đ</w:t>
      </w:r>
      <w:proofErr w:type="spellStart"/>
      <w:r w:rsidR="00100E03" w:rsidRPr="00B374A1">
        <w:rPr>
          <w:rFonts w:asciiTheme="minorHAnsi" w:hAnsiTheme="minorHAnsi" w:cstheme="minorHAnsi"/>
          <w:b/>
          <w:i/>
          <w:sz w:val="22"/>
          <w:shd w:val="clear" w:color="auto" w:fill="FFFFFF"/>
        </w:rPr>
        <w:t>uju</w:t>
      </w:r>
      <w:proofErr w:type="spellEnd"/>
      <w:r w:rsidR="00100E03" w:rsidRPr="00B374A1">
        <w:rPr>
          <w:rFonts w:asciiTheme="minorHAnsi" w:hAnsiTheme="minorHAnsi" w:cstheme="minorHAnsi"/>
          <w:b/>
          <w:i/>
          <w:sz w:val="22"/>
          <w:shd w:val="clear" w:color="auto" w:fill="FFFFFF"/>
          <w:lang w:val="sr-Latn-CS"/>
        </w:rPr>
        <w:t xml:space="preserve"> </w:t>
      </w:r>
      <w:proofErr w:type="spellStart"/>
      <w:r w:rsidR="00100E03" w:rsidRPr="00B374A1">
        <w:rPr>
          <w:rFonts w:asciiTheme="minorHAnsi" w:hAnsiTheme="minorHAnsi" w:cstheme="minorHAnsi"/>
          <w:b/>
          <w:i/>
          <w:sz w:val="22"/>
          <w:shd w:val="clear" w:color="auto" w:fill="FFFFFF"/>
        </w:rPr>
        <w:t>sredstva</w:t>
      </w:r>
      <w:proofErr w:type="spellEnd"/>
      <w:r w:rsidR="00100E03" w:rsidRPr="00B374A1">
        <w:rPr>
          <w:rFonts w:asciiTheme="minorHAnsi" w:hAnsiTheme="minorHAnsi" w:cstheme="minorHAnsi"/>
          <w:b/>
          <w:i/>
          <w:sz w:val="22"/>
          <w:shd w:val="clear" w:color="auto" w:fill="FFFFFF"/>
          <w:lang w:val="sr-Latn-CS"/>
        </w:rPr>
        <w:t xml:space="preserve"> </w:t>
      </w:r>
      <w:r w:rsidR="00100E03" w:rsidRPr="00B374A1">
        <w:rPr>
          <w:rFonts w:asciiTheme="minorHAnsi" w:hAnsiTheme="minorHAnsi" w:cstheme="minorHAnsi"/>
          <w:b/>
          <w:i/>
          <w:sz w:val="22"/>
          <w:shd w:val="clear" w:color="auto" w:fill="FFFFFF"/>
        </w:rPr>
        <w:t>za</w:t>
      </w:r>
      <w:r w:rsidR="00100E03" w:rsidRPr="00B374A1">
        <w:rPr>
          <w:rFonts w:asciiTheme="minorHAnsi" w:hAnsiTheme="minorHAnsi" w:cstheme="minorHAnsi"/>
          <w:b/>
          <w:i/>
          <w:sz w:val="22"/>
          <w:shd w:val="clear" w:color="auto" w:fill="FFFFFF"/>
          <w:lang w:val="sr-Latn-CS"/>
        </w:rPr>
        <w:t xml:space="preserve"> </w:t>
      </w:r>
      <w:proofErr w:type="spellStart"/>
      <w:r w:rsidR="00B374A1" w:rsidRPr="00B374A1">
        <w:rPr>
          <w:rFonts w:asciiTheme="minorHAnsi" w:hAnsiTheme="minorHAnsi" w:cstheme="minorHAnsi"/>
          <w:b/>
          <w:i/>
          <w:sz w:val="22"/>
          <w:shd w:val="clear" w:color="auto" w:fill="FFFFFF"/>
        </w:rPr>
        <w:t>materijalne</w:t>
      </w:r>
      <w:proofErr w:type="spellEnd"/>
      <w:r w:rsidR="00B374A1" w:rsidRPr="00B374A1">
        <w:rPr>
          <w:rFonts w:asciiTheme="minorHAnsi" w:hAnsiTheme="minorHAnsi" w:cstheme="minorHAnsi"/>
          <w:b/>
          <w:i/>
          <w:sz w:val="22"/>
          <w:shd w:val="clear" w:color="auto" w:fill="FFFFFF"/>
        </w:rPr>
        <w:t xml:space="preserve"> </w:t>
      </w:r>
      <w:proofErr w:type="spellStart"/>
      <w:r w:rsidR="00B374A1" w:rsidRPr="00B374A1">
        <w:rPr>
          <w:rFonts w:asciiTheme="minorHAnsi" w:hAnsiTheme="minorHAnsi" w:cstheme="minorHAnsi"/>
          <w:b/>
          <w:i/>
          <w:sz w:val="22"/>
          <w:shd w:val="clear" w:color="auto" w:fill="FFFFFF"/>
        </w:rPr>
        <w:t>troškove</w:t>
      </w:r>
      <w:proofErr w:type="spellEnd"/>
      <w:r w:rsidR="00B374A1" w:rsidRPr="00B374A1">
        <w:rPr>
          <w:rFonts w:asciiTheme="minorHAnsi" w:hAnsiTheme="minorHAnsi" w:cstheme="minorHAnsi"/>
          <w:b/>
          <w:i/>
          <w:sz w:val="22"/>
          <w:shd w:val="clear" w:color="auto" w:fill="FFFFFF"/>
        </w:rPr>
        <w:t xml:space="preserve"> </w:t>
      </w:r>
      <w:proofErr w:type="spellStart"/>
      <w:r w:rsidR="00B374A1" w:rsidRPr="00B374A1">
        <w:rPr>
          <w:rFonts w:asciiTheme="minorHAnsi" w:hAnsiTheme="minorHAnsi" w:cstheme="minorHAnsi"/>
          <w:b/>
          <w:i/>
          <w:sz w:val="22"/>
          <w:shd w:val="clear" w:color="auto" w:fill="FFFFFF"/>
        </w:rPr>
        <w:t>rada</w:t>
      </w:r>
      <w:proofErr w:type="spellEnd"/>
      <w:r w:rsidRPr="00EE58A2">
        <w:rPr>
          <w:rFonts w:asciiTheme="minorHAnsi" w:hAnsiTheme="minorHAnsi" w:cstheme="minorHAnsi"/>
          <w:sz w:val="22"/>
          <w:shd w:val="clear" w:color="auto" w:fill="FFFFFF"/>
          <w:lang w:val="sr-Latn-RS"/>
        </w:rPr>
        <w:t xml:space="preserve">. </w:t>
      </w:r>
      <w:r w:rsidR="00100E03" w:rsidRPr="00EE58A2">
        <w:rPr>
          <w:rFonts w:asciiTheme="minorHAnsi" w:hAnsiTheme="minorHAnsi" w:cstheme="minorHAnsi"/>
          <w:sz w:val="22"/>
          <w:shd w:val="clear" w:color="auto" w:fill="FFFFFF"/>
          <w:lang w:val="sr-Latn-CS"/>
        </w:rPr>
        <w:t xml:space="preserve"> </w:t>
      </w:r>
      <w:proofErr w:type="spellStart"/>
      <w:r w:rsidR="00100E03" w:rsidRPr="0052300E">
        <w:rPr>
          <w:rFonts w:asciiTheme="minorHAnsi" w:hAnsiTheme="minorHAnsi" w:cstheme="minorHAnsi"/>
          <w:sz w:val="22"/>
          <w:szCs w:val="20"/>
        </w:rPr>
        <w:t>Prema</w:t>
      </w:r>
      <w:proofErr w:type="spellEnd"/>
      <w:r w:rsidR="00100E03" w:rsidRPr="0052300E">
        <w:rPr>
          <w:rFonts w:asciiTheme="minorHAnsi" w:hAnsiTheme="minorHAnsi" w:cstheme="minorHAnsi"/>
          <w:sz w:val="22"/>
          <w:szCs w:val="20"/>
          <w:lang w:val="sr-Latn-CS"/>
        </w:rPr>
        <w:t xml:space="preserve"> </w:t>
      </w:r>
      <w:r w:rsidR="00100E03" w:rsidRPr="0052300E">
        <w:rPr>
          <w:rFonts w:asciiTheme="minorHAnsi" w:hAnsiTheme="minorHAnsi" w:cstheme="minorHAnsi"/>
          <w:sz w:val="22"/>
          <w:szCs w:val="20"/>
        </w:rPr>
        <w:t>o</w:t>
      </w:r>
      <w:r w:rsidR="00100E03" w:rsidRPr="0052300E">
        <w:rPr>
          <w:rFonts w:asciiTheme="minorHAnsi" w:hAnsiTheme="minorHAnsi" w:cstheme="minorHAnsi"/>
          <w:sz w:val="22"/>
          <w:szCs w:val="20"/>
          <w:lang w:val="sr-Latn-CS"/>
        </w:rPr>
        <w:t xml:space="preserve"> </w:t>
      </w:r>
      <w:proofErr w:type="spellStart"/>
      <w:r w:rsidR="00100E03" w:rsidRPr="0052300E">
        <w:rPr>
          <w:rFonts w:asciiTheme="minorHAnsi" w:hAnsiTheme="minorHAnsi" w:cstheme="minorHAnsi"/>
          <w:sz w:val="22"/>
          <w:szCs w:val="20"/>
        </w:rPr>
        <w:t>Pravilniku</w:t>
      </w:r>
      <w:proofErr w:type="spellEnd"/>
      <w:r w:rsidR="00100E03" w:rsidRPr="0052300E">
        <w:rPr>
          <w:rFonts w:asciiTheme="minorHAnsi" w:hAnsiTheme="minorHAnsi" w:cstheme="minorHAnsi"/>
          <w:sz w:val="22"/>
          <w:szCs w:val="20"/>
        </w:rPr>
        <w:t xml:space="preserve"> o </w:t>
      </w:r>
      <w:proofErr w:type="spellStart"/>
      <w:r w:rsidR="00100E03" w:rsidRPr="0052300E">
        <w:rPr>
          <w:rFonts w:asciiTheme="minorHAnsi" w:hAnsiTheme="minorHAnsi" w:cstheme="minorHAnsi"/>
          <w:sz w:val="22"/>
          <w:szCs w:val="20"/>
        </w:rPr>
        <w:t>kriterijumima</w:t>
      </w:r>
      <w:proofErr w:type="spellEnd"/>
      <w:r w:rsidR="00100E03" w:rsidRPr="0052300E">
        <w:rPr>
          <w:rFonts w:asciiTheme="minorHAnsi" w:hAnsiTheme="minorHAnsi" w:cstheme="minorHAnsi"/>
          <w:sz w:val="22"/>
          <w:szCs w:val="20"/>
        </w:rPr>
        <w:t xml:space="preserve"> </w:t>
      </w:r>
      <w:proofErr w:type="spellStart"/>
      <w:r w:rsidR="00100E03" w:rsidRPr="0052300E">
        <w:rPr>
          <w:rFonts w:asciiTheme="minorHAnsi" w:hAnsiTheme="minorHAnsi" w:cstheme="minorHAnsi"/>
          <w:sz w:val="22"/>
          <w:szCs w:val="20"/>
        </w:rPr>
        <w:t>i</w:t>
      </w:r>
      <w:proofErr w:type="spellEnd"/>
      <w:r w:rsidR="00100E03" w:rsidRPr="0052300E">
        <w:rPr>
          <w:rFonts w:asciiTheme="minorHAnsi" w:hAnsiTheme="minorHAnsi" w:cstheme="minorHAnsi"/>
          <w:sz w:val="22"/>
          <w:szCs w:val="20"/>
        </w:rPr>
        <w:t xml:space="preserve"> </w:t>
      </w:r>
      <w:proofErr w:type="spellStart"/>
      <w:r w:rsidR="00100E03" w:rsidRPr="0052300E">
        <w:rPr>
          <w:rFonts w:asciiTheme="minorHAnsi" w:hAnsiTheme="minorHAnsi" w:cstheme="minorHAnsi"/>
          <w:sz w:val="22"/>
          <w:szCs w:val="20"/>
        </w:rPr>
        <w:t>standardima</w:t>
      </w:r>
      <w:proofErr w:type="spellEnd"/>
      <w:r w:rsidR="00100E03" w:rsidRPr="0052300E">
        <w:rPr>
          <w:rFonts w:asciiTheme="minorHAnsi" w:hAnsiTheme="minorHAnsi" w:cstheme="minorHAnsi"/>
          <w:sz w:val="22"/>
          <w:szCs w:val="20"/>
        </w:rPr>
        <w:t xml:space="preserve"> za </w:t>
      </w:r>
      <w:proofErr w:type="spellStart"/>
      <w:r w:rsidR="00100E03" w:rsidRPr="0052300E">
        <w:rPr>
          <w:rFonts w:asciiTheme="minorHAnsi" w:hAnsiTheme="minorHAnsi" w:cstheme="minorHAnsi"/>
          <w:sz w:val="22"/>
          <w:szCs w:val="20"/>
        </w:rPr>
        <w:t>finansiranje</w:t>
      </w:r>
      <w:proofErr w:type="spellEnd"/>
      <w:r w:rsidR="00100E03" w:rsidRPr="0052300E">
        <w:rPr>
          <w:rFonts w:asciiTheme="minorHAnsi" w:hAnsiTheme="minorHAnsi" w:cstheme="minorHAnsi"/>
          <w:sz w:val="22"/>
          <w:szCs w:val="20"/>
        </w:rPr>
        <w:t xml:space="preserve"> </w:t>
      </w:r>
      <w:proofErr w:type="spellStart"/>
      <w:r w:rsidR="00100E03" w:rsidRPr="0052300E">
        <w:rPr>
          <w:rFonts w:asciiTheme="minorHAnsi" w:hAnsiTheme="minorHAnsi" w:cstheme="minorHAnsi"/>
          <w:sz w:val="22"/>
          <w:szCs w:val="20"/>
        </w:rPr>
        <w:t>ustanove</w:t>
      </w:r>
      <w:proofErr w:type="spellEnd"/>
      <w:r w:rsidR="00100E03" w:rsidRPr="0052300E">
        <w:rPr>
          <w:rFonts w:asciiTheme="minorHAnsi" w:hAnsiTheme="minorHAnsi" w:cstheme="minorHAnsi"/>
          <w:sz w:val="22"/>
          <w:szCs w:val="20"/>
        </w:rPr>
        <w:t xml:space="preserve"> </w:t>
      </w:r>
      <w:proofErr w:type="spellStart"/>
      <w:r w:rsidR="00100E03" w:rsidRPr="0052300E">
        <w:rPr>
          <w:rFonts w:asciiTheme="minorHAnsi" w:hAnsiTheme="minorHAnsi" w:cstheme="minorHAnsi"/>
          <w:sz w:val="22"/>
          <w:szCs w:val="20"/>
        </w:rPr>
        <w:t>koja</w:t>
      </w:r>
      <w:proofErr w:type="spellEnd"/>
      <w:r w:rsidR="00100E03" w:rsidRPr="0052300E">
        <w:rPr>
          <w:rFonts w:asciiTheme="minorHAnsi" w:hAnsiTheme="minorHAnsi" w:cstheme="minorHAnsi"/>
          <w:sz w:val="22"/>
          <w:szCs w:val="20"/>
        </w:rPr>
        <w:t xml:space="preserve"> </w:t>
      </w:r>
      <w:proofErr w:type="spellStart"/>
      <w:r w:rsidR="00100E03" w:rsidRPr="0052300E">
        <w:rPr>
          <w:rFonts w:asciiTheme="minorHAnsi" w:hAnsiTheme="minorHAnsi" w:cstheme="minorHAnsi"/>
          <w:sz w:val="22"/>
          <w:szCs w:val="20"/>
        </w:rPr>
        <w:t>obavlja</w:t>
      </w:r>
      <w:proofErr w:type="spellEnd"/>
      <w:r w:rsidR="00100E03" w:rsidRPr="0052300E">
        <w:rPr>
          <w:rFonts w:asciiTheme="minorHAnsi" w:hAnsiTheme="minorHAnsi" w:cstheme="minorHAnsi"/>
          <w:sz w:val="22"/>
          <w:szCs w:val="20"/>
        </w:rPr>
        <w:t xml:space="preserve"> </w:t>
      </w:r>
      <w:proofErr w:type="spellStart"/>
      <w:r w:rsidR="00100E03" w:rsidRPr="0052300E">
        <w:rPr>
          <w:rFonts w:asciiTheme="minorHAnsi" w:hAnsiTheme="minorHAnsi" w:cstheme="minorHAnsi"/>
          <w:sz w:val="22"/>
          <w:szCs w:val="20"/>
        </w:rPr>
        <w:t>delatnost</w:t>
      </w:r>
      <w:proofErr w:type="spellEnd"/>
      <w:r w:rsidR="00100E03" w:rsidRPr="0052300E">
        <w:rPr>
          <w:rFonts w:asciiTheme="minorHAnsi" w:hAnsiTheme="minorHAnsi" w:cstheme="minorHAnsi"/>
          <w:sz w:val="22"/>
          <w:szCs w:val="20"/>
        </w:rPr>
        <w:t xml:space="preserve"> </w:t>
      </w:r>
      <w:proofErr w:type="spellStart"/>
      <w:r w:rsidR="00100E03" w:rsidRPr="0052300E">
        <w:rPr>
          <w:rFonts w:asciiTheme="minorHAnsi" w:hAnsiTheme="minorHAnsi" w:cstheme="minorHAnsi"/>
          <w:sz w:val="22"/>
          <w:szCs w:val="20"/>
        </w:rPr>
        <w:t>osnovnog</w:t>
      </w:r>
      <w:proofErr w:type="spellEnd"/>
      <w:r w:rsidR="00100E03" w:rsidRPr="0052300E">
        <w:rPr>
          <w:rFonts w:asciiTheme="minorHAnsi" w:hAnsiTheme="minorHAnsi" w:cstheme="minorHAnsi"/>
          <w:sz w:val="22"/>
          <w:szCs w:val="20"/>
        </w:rPr>
        <w:t xml:space="preserve"> </w:t>
      </w:r>
      <w:proofErr w:type="spellStart"/>
      <w:r w:rsidR="00100E03" w:rsidRPr="0052300E">
        <w:rPr>
          <w:rFonts w:asciiTheme="minorHAnsi" w:hAnsiTheme="minorHAnsi" w:cstheme="minorHAnsi"/>
          <w:sz w:val="22"/>
          <w:szCs w:val="20"/>
        </w:rPr>
        <w:t>obrazovanja</w:t>
      </w:r>
      <w:proofErr w:type="spellEnd"/>
      <w:r w:rsidR="00100E03" w:rsidRPr="0052300E">
        <w:rPr>
          <w:rFonts w:asciiTheme="minorHAnsi" w:hAnsiTheme="minorHAnsi" w:cstheme="minorHAnsi"/>
          <w:sz w:val="22"/>
          <w:szCs w:val="20"/>
        </w:rPr>
        <w:t xml:space="preserve"> </w:t>
      </w:r>
      <w:proofErr w:type="spellStart"/>
      <w:r w:rsidR="00100E03" w:rsidRPr="0052300E">
        <w:rPr>
          <w:rFonts w:asciiTheme="minorHAnsi" w:hAnsiTheme="minorHAnsi" w:cstheme="minorHAnsi"/>
          <w:sz w:val="22"/>
          <w:szCs w:val="20"/>
        </w:rPr>
        <w:t>i</w:t>
      </w:r>
      <w:proofErr w:type="spellEnd"/>
      <w:r w:rsidR="00100E03" w:rsidRPr="0052300E">
        <w:rPr>
          <w:rFonts w:asciiTheme="minorHAnsi" w:hAnsiTheme="minorHAnsi" w:cstheme="minorHAnsi"/>
          <w:sz w:val="22"/>
          <w:szCs w:val="20"/>
        </w:rPr>
        <w:t xml:space="preserve"> </w:t>
      </w:r>
      <w:proofErr w:type="spellStart"/>
      <w:r w:rsidR="00100E03" w:rsidRPr="0052300E">
        <w:rPr>
          <w:rFonts w:asciiTheme="minorHAnsi" w:hAnsiTheme="minorHAnsi" w:cstheme="minorHAnsi"/>
          <w:sz w:val="22"/>
          <w:szCs w:val="20"/>
        </w:rPr>
        <w:t>vaspitanja</w:t>
      </w:r>
      <w:proofErr w:type="spellEnd"/>
      <w:r w:rsidR="00100E03" w:rsidRPr="0052300E">
        <w:rPr>
          <w:rStyle w:val="FootnoteReference"/>
          <w:rFonts w:asciiTheme="minorHAnsi" w:hAnsiTheme="minorHAnsi" w:cstheme="minorHAnsi"/>
          <w:sz w:val="22"/>
          <w:szCs w:val="20"/>
        </w:rPr>
        <w:footnoteReference w:id="5"/>
      </w:r>
      <w:r w:rsidR="00100E03" w:rsidRPr="0052300E">
        <w:rPr>
          <w:rFonts w:asciiTheme="minorHAnsi" w:hAnsiTheme="minorHAnsi" w:cstheme="minorHAnsi"/>
          <w:sz w:val="22"/>
          <w:szCs w:val="20"/>
        </w:rPr>
        <w:t xml:space="preserve"> </w:t>
      </w:r>
      <w:proofErr w:type="spellStart"/>
      <w:r w:rsidR="00100E03" w:rsidRPr="0052300E">
        <w:rPr>
          <w:rFonts w:asciiTheme="minorHAnsi" w:hAnsiTheme="minorHAnsi" w:cstheme="minorHAnsi"/>
          <w:sz w:val="22"/>
          <w:szCs w:val="20"/>
        </w:rPr>
        <w:t>drugi</w:t>
      </w:r>
      <w:proofErr w:type="spellEnd"/>
      <w:r w:rsidR="00100E03" w:rsidRPr="0052300E">
        <w:rPr>
          <w:rFonts w:asciiTheme="minorHAnsi" w:hAnsiTheme="minorHAnsi" w:cstheme="minorHAnsi"/>
          <w:sz w:val="22"/>
          <w:szCs w:val="20"/>
          <w:lang w:val="sr-Latn-CS"/>
        </w:rPr>
        <w:t xml:space="preserve"> </w:t>
      </w:r>
      <w:proofErr w:type="spellStart"/>
      <w:r w:rsidR="00100E03" w:rsidRPr="0052300E">
        <w:rPr>
          <w:rFonts w:asciiTheme="minorHAnsi" w:hAnsiTheme="minorHAnsi" w:cstheme="minorHAnsi"/>
          <w:sz w:val="22"/>
          <w:szCs w:val="20"/>
        </w:rPr>
        <w:t>teku</w:t>
      </w:r>
      <w:proofErr w:type="spellEnd"/>
      <w:r w:rsidR="00100E03" w:rsidRPr="0052300E">
        <w:rPr>
          <w:rFonts w:asciiTheme="minorHAnsi" w:hAnsiTheme="minorHAnsi" w:cstheme="minorHAnsi"/>
          <w:sz w:val="22"/>
          <w:szCs w:val="20"/>
          <w:lang w:val="sr-Latn-CS"/>
        </w:rPr>
        <w:t>ć</w:t>
      </w:r>
      <w:proofErr w:type="spellStart"/>
      <w:r w:rsidR="00100E03" w:rsidRPr="0052300E">
        <w:rPr>
          <w:rFonts w:asciiTheme="minorHAnsi" w:hAnsiTheme="minorHAnsi" w:cstheme="minorHAnsi"/>
          <w:sz w:val="22"/>
          <w:szCs w:val="20"/>
        </w:rPr>
        <w:t>i</w:t>
      </w:r>
      <w:proofErr w:type="spellEnd"/>
      <w:r w:rsidR="00100E03" w:rsidRPr="0052300E">
        <w:rPr>
          <w:rFonts w:asciiTheme="minorHAnsi" w:hAnsiTheme="minorHAnsi" w:cstheme="minorHAnsi"/>
          <w:sz w:val="22"/>
          <w:szCs w:val="20"/>
          <w:lang w:val="sr-Latn-CS"/>
        </w:rPr>
        <w:t xml:space="preserve"> </w:t>
      </w:r>
      <w:proofErr w:type="spellStart"/>
      <w:r w:rsidR="00100E03" w:rsidRPr="0052300E">
        <w:rPr>
          <w:rFonts w:asciiTheme="minorHAnsi" w:hAnsiTheme="minorHAnsi" w:cstheme="minorHAnsi"/>
          <w:sz w:val="22"/>
          <w:szCs w:val="20"/>
        </w:rPr>
        <w:t>rashodi</w:t>
      </w:r>
      <w:proofErr w:type="spellEnd"/>
      <w:r w:rsidR="00100E03" w:rsidRPr="0052300E">
        <w:rPr>
          <w:rFonts w:asciiTheme="minorHAnsi" w:hAnsiTheme="minorHAnsi" w:cstheme="minorHAnsi"/>
          <w:sz w:val="22"/>
          <w:szCs w:val="20"/>
          <w:lang w:val="sr-Latn-CS"/>
        </w:rPr>
        <w:t xml:space="preserve"> (</w:t>
      </w:r>
      <w:proofErr w:type="spellStart"/>
      <w:r w:rsidR="00100E03" w:rsidRPr="0052300E">
        <w:rPr>
          <w:rFonts w:asciiTheme="minorHAnsi" w:hAnsiTheme="minorHAnsi" w:cstheme="minorHAnsi"/>
          <w:sz w:val="22"/>
          <w:szCs w:val="20"/>
        </w:rPr>
        <w:t>materijalni</w:t>
      </w:r>
      <w:proofErr w:type="spellEnd"/>
      <w:r w:rsidR="00100E03" w:rsidRPr="0052300E">
        <w:rPr>
          <w:rFonts w:asciiTheme="minorHAnsi" w:hAnsiTheme="minorHAnsi" w:cstheme="minorHAnsi"/>
          <w:sz w:val="22"/>
          <w:szCs w:val="20"/>
          <w:lang w:val="sr-Latn-CS"/>
        </w:rPr>
        <w:t xml:space="preserve"> </w:t>
      </w:r>
      <w:proofErr w:type="spellStart"/>
      <w:r w:rsidR="00100E03" w:rsidRPr="0052300E">
        <w:rPr>
          <w:rFonts w:asciiTheme="minorHAnsi" w:hAnsiTheme="minorHAnsi" w:cstheme="minorHAnsi"/>
          <w:sz w:val="22"/>
          <w:szCs w:val="20"/>
        </w:rPr>
        <w:t>tro</w:t>
      </w:r>
      <w:proofErr w:type="spellEnd"/>
      <w:r w:rsidR="00100E03" w:rsidRPr="0052300E">
        <w:rPr>
          <w:rFonts w:asciiTheme="minorHAnsi" w:hAnsiTheme="minorHAnsi" w:cstheme="minorHAnsi"/>
          <w:sz w:val="22"/>
          <w:szCs w:val="20"/>
          <w:lang w:val="sr-Latn-CS"/>
        </w:rPr>
        <w:t>š</w:t>
      </w:r>
      <w:proofErr w:type="spellStart"/>
      <w:r w:rsidR="00100E03" w:rsidRPr="0052300E">
        <w:rPr>
          <w:rFonts w:asciiTheme="minorHAnsi" w:hAnsiTheme="minorHAnsi" w:cstheme="minorHAnsi"/>
          <w:sz w:val="22"/>
          <w:szCs w:val="20"/>
        </w:rPr>
        <w:t>kovi</w:t>
      </w:r>
      <w:proofErr w:type="spellEnd"/>
      <w:r w:rsidR="00100E03" w:rsidRPr="0052300E">
        <w:rPr>
          <w:rFonts w:asciiTheme="minorHAnsi" w:hAnsiTheme="minorHAnsi" w:cstheme="minorHAnsi"/>
          <w:sz w:val="22"/>
          <w:szCs w:val="20"/>
          <w:lang w:val="sr-Cyrl-RS"/>
        </w:rPr>
        <w:t xml:space="preserve"> </w:t>
      </w:r>
      <w:r w:rsidR="00100E03" w:rsidRPr="0052300E">
        <w:rPr>
          <w:rFonts w:asciiTheme="minorHAnsi" w:hAnsiTheme="minorHAnsi" w:cstheme="minorHAnsi"/>
          <w:sz w:val="22"/>
          <w:szCs w:val="20"/>
          <w:lang w:val="sr-Latn-RS"/>
        </w:rPr>
        <w:t>rada</w:t>
      </w:r>
      <w:r w:rsidR="00100E03" w:rsidRPr="0052300E">
        <w:rPr>
          <w:rFonts w:asciiTheme="minorHAnsi" w:hAnsiTheme="minorHAnsi" w:cstheme="minorHAnsi"/>
          <w:sz w:val="22"/>
          <w:szCs w:val="20"/>
          <w:lang w:val="sr-Latn-CS"/>
        </w:rPr>
        <w:t xml:space="preserve">) </w:t>
      </w:r>
      <w:proofErr w:type="spellStart"/>
      <w:r w:rsidR="00100E03" w:rsidRPr="0052300E">
        <w:rPr>
          <w:rFonts w:asciiTheme="minorHAnsi" w:hAnsiTheme="minorHAnsi" w:cstheme="minorHAnsi"/>
          <w:sz w:val="22"/>
          <w:szCs w:val="20"/>
        </w:rPr>
        <w:t>uklju</w:t>
      </w:r>
      <w:proofErr w:type="spellEnd"/>
      <w:r w:rsidR="00100E03" w:rsidRPr="0052300E">
        <w:rPr>
          <w:rFonts w:asciiTheme="minorHAnsi" w:hAnsiTheme="minorHAnsi" w:cstheme="minorHAnsi"/>
          <w:sz w:val="22"/>
          <w:szCs w:val="20"/>
          <w:lang w:val="sr-Latn-CS"/>
        </w:rPr>
        <w:t>č</w:t>
      </w:r>
      <w:proofErr w:type="spellStart"/>
      <w:r w:rsidR="00100E03" w:rsidRPr="0052300E">
        <w:rPr>
          <w:rFonts w:asciiTheme="minorHAnsi" w:hAnsiTheme="minorHAnsi" w:cstheme="minorHAnsi"/>
          <w:sz w:val="22"/>
          <w:szCs w:val="20"/>
        </w:rPr>
        <w:t>uju</w:t>
      </w:r>
      <w:proofErr w:type="spellEnd"/>
      <w:r w:rsidR="00100E03" w:rsidRPr="0052300E">
        <w:rPr>
          <w:rFonts w:asciiTheme="minorHAnsi" w:hAnsiTheme="minorHAnsi" w:cstheme="minorHAnsi"/>
          <w:sz w:val="22"/>
          <w:szCs w:val="20"/>
          <w:lang w:val="sr-Latn-CS"/>
        </w:rPr>
        <w:t xml:space="preserve"> </w:t>
      </w:r>
      <w:proofErr w:type="spellStart"/>
      <w:r w:rsidR="00100E03" w:rsidRPr="0052300E">
        <w:rPr>
          <w:rFonts w:asciiTheme="minorHAnsi" w:hAnsiTheme="minorHAnsi" w:cstheme="minorHAnsi"/>
          <w:sz w:val="22"/>
          <w:szCs w:val="20"/>
        </w:rPr>
        <w:t>materijalne</w:t>
      </w:r>
      <w:proofErr w:type="spellEnd"/>
      <w:r w:rsidR="00100E03" w:rsidRPr="0052300E">
        <w:rPr>
          <w:rFonts w:asciiTheme="minorHAnsi" w:hAnsiTheme="minorHAnsi" w:cstheme="minorHAnsi"/>
          <w:sz w:val="22"/>
          <w:szCs w:val="20"/>
          <w:lang w:val="sr-Latn-CS"/>
        </w:rPr>
        <w:t xml:space="preserve"> </w:t>
      </w:r>
      <w:proofErr w:type="spellStart"/>
      <w:r w:rsidR="00100E03" w:rsidRPr="0052300E">
        <w:rPr>
          <w:rFonts w:asciiTheme="minorHAnsi" w:hAnsiTheme="minorHAnsi" w:cstheme="minorHAnsi"/>
          <w:sz w:val="22"/>
          <w:szCs w:val="20"/>
        </w:rPr>
        <w:t>tro</w:t>
      </w:r>
      <w:proofErr w:type="spellEnd"/>
      <w:r w:rsidR="00100E03" w:rsidRPr="0052300E">
        <w:rPr>
          <w:rFonts w:asciiTheme="minorHAnsi" w:hAnsiTheme="minorHAnsi" w:cstheme="minorHAnsi"/>
          <w:sz w:val="22"/>
          <w:szCs w:val="20"/>
          <w:lang w:val="sr-Latn-CS"/>
        </w:rPr>
        <w:t>š</w:t>
      </w:r>
      <w:proofErr w:type="spellStart"/>
      <w:r w:rsidR="00100E03" w:rsidRPr="0052300E">
        <w:rPr>
          <w:rFonts w:asciiTheme="minorHAnsi" w:hAnsiTheme="minorHAnsi" w:cstheme="minorHAnsi"/>
          <w:sz w:val="22"/>
          <w:szCs w:val="20"/>
        </w:rPr>
        <w:t>kove</w:t>
      </w:r>
      <w:proofErr w:type="spellEnd"/>
      <w:r w:rsidR="00100E03" w:rsidRPr="0052300E">
        <w:rPr>
          <w:rFonts w:asciiTheme="minorHAnsi" w:hAnsiTheme="minorHAnsi" w:cstheme="minorHAnsi"/>
          <w:sz w:val="22"/>
          <w:szCs w:val="20"/>
          <w:lang w:val="sr-Latn-CS"/>
        </w:rPr>
        <w:t xml:space="preserve"> </w:t>
      </w:r>
      <w:proofErr w:type="spellStart"/>
      <w:r w:rsidR="00100E03" w:rsidRPr="0052300E">
        <w:rPr>
          <w:rFonts w:asciiTheme="minorHAnsi" w:hAnsiTheme="minorHAnsi" w:cstheme="minorHAnsi"/>
          <w:sz w:val="22"/>
          <w:szCs w:val="20"/>
        </w:rPr>
        <w:t>nastave</w:t>
      </w:r>
      <w:proofErr w:type="spellEnd"/>
      <w:r w:rsidR="00100E03" w:rsidRPr="0052300E">
        <w:rPr>
          <w:rFonts w:asciiTheme="minorHAnsi" w:hAnsiTheme="minorHAnsi" w:cstheme="minorHAnsi"/>
          <w:sz w:val="22"/>
          <w:szCs w:val="20"/>
          <w:lang w:val="sr-Latn-CS"/>
        </w:rPr>
        <w:t xml:space="preserve"> </w:t>
      </w:r>
      <w:r w:rsidR="00100E03" w:rsidRPr="0052300E">
        <w:rPr>
          <w:rFonts w:asciiTheme="minorHAnsi" w:hAnsiTheme="minorHAnsi" w:cstheme="minorHAnsi"/>
          <w:sz w:val="22"/>
          <w:szCs w:val="20"/>
        </w:rPr>
        <w:t>u</w:t>
      </w:r>
      <w:r w:rsidR="00100E03" w:rsidRPr="0052300E">
        <w:rPr>
          <w:rFonts w:asciiTheme="minorHAnsi" w:hAnsiTheme="minorHAnsi" w:cstheme="minorHAnsi"/>
          <w:sz w:val="22"/>
          <w:szCs w:val="20"/>
          <w:lang w:val="sr-Latn-CS"/>
        </w:rPr>
        <w:t xml:space="preserve"> </w:t>
      </w:r>
      <w:proofErr w:type="spellStart"/>
      <w:r w:rsidR="00100E03" w:rsidRPr="0052300E">
        <w:rPr>
          <w:rFonts w:asciiTheme="minorHAnsi" w:hAnsiTheme="minorHAnsi" w:cstheme="minorHAnsi"/>
          <w:sz w:val="22"/>
          <w:szCs w:val="20"/>
        </w:rPr>
        <w:t>iznosu</w:t>
      </w:r>
      <w:proofErr w:type="spellEnd"/>
      <w:r w:rsidR="00100E03" w:rsidRPr="0052300E">
        <w:rPr>
          <w:rFonts w:asciiTheme="minorHAnsi" w:hAnsiTheme="minorHAnsi" w:cstheme="minorHAnsi"/>
          <w:sz w:val="22"/>
          <w:szCs w:val="20"/>
          <w:lang w:val="sr-Latn-CS"/>
        </w:rPr>
        <w:t xml:space="preserve"> 2,5% </w:t>
      </w:r>
      <w:proofErr w:type="spellStart"/>
      <w:r w:rsidR="00100E03" w:rsidRPr="0052300E">
        <w:rPr>
          <w:rFonts w:asciiTheme="minorHAnsi" w:hAnsiTheme="minorHAnsi" w:cstheme="minorHAnsi"/>
          <w:sz w:val="22"/>
          <w:szCs w:val="20"/>
        </w:rPr>
        <w:t>bruto</w:t>
      </w:r>
      <w:proofErr w:type="spellEnd"/>
      <w:r w:rsidR="00100E03" w:rsidRPr="0052300E">
        <w:rPr>
          <w:rFonts w:asciiTheme="minorHAnsi" w:hAnsiTheme="minorHAnsi" w:cstheme="minorHAnsi"/>
          <w:sz w:val="22"/>
          <w:szCs w:val="20"/>
          <w:lang w:val="sr-Latn-CS"/>
        </w:rPr>
        <w:t xml:space="preserve"> </w:t>
      </w:r>
      <w:proofErr w:type="spellStart"/>
      <w:r w:rsidR="00100E03" w:rsidRPr="0052300E">
        <w:rPr>
          <w:rFonts w:asciiTheme="minorHAnsi" w:hAnsiTheme="minorHAnsi" w:cstheme="minorHAnsi"/>
          <w:sz w:val="22"/>
          <w:szCs w:val="20"/>
        </w:rPr>
        <w:t>plata</w:t>
      </w:r>
      <w:proofErr w:type="spellEnd"/>
      <w:r w:rsidR="00100E03" w:rsidRPr="0052300E">
        <w:rPr>
          <w:rFonts w:asciiTheme="minorHAnsi" w:hAnsiTheme="minorHAnsi" w:cstheme="minorHAnsi"/>
          <w:sz w:val="22"/>
          <w:szCs w:val="20"/>
          <w:lang w:val="sr-Latn-CS"/>
        </w:rPr>
        <w:t xml:space="preserve"> </w:t>
      </w:r>
      <w:proofErr w:type="spellStart"/>
      <w:r w:rsidR="00100E03" w:rsidRPr="0052300E">
        <w:rPr>
          <w:rFonts w:asciiTheme="minorHAnsi" w:hAnsiTheme="minorHAnsi" w:cstheme="minorHAnsi"/>
          <w:sz w:val="22"/>
          <w:szCs w:val="20"/>
        </w:rPr>
        <w:t>zaposlenih</w:t>
      </w:r>
      <w:proofErr w:type="spellEnd"/>
      <w:r w:rsidR="00100E03" w:rsidRPr="0052300E">
        <w:rPr>
          <w:rFonts w:asciiTheme="minorHAnsi" w:hAnsiTheme="minorHAnsi" w:cstheme="minorHAnsi"/>
          <w:sz w:val="22"/>
          <w:szCs w:val="20"/>
          <w:lang w:val="sr-Latn-CS"/>
        </w:rPr>
        <w:t xml:space="preserve">, </w:t>
      </w:r>
      <w:proofErr w:type="spellStart"/>
      <w:r w:rsidR="00100E03" w:rsidRPr="0052300E">
        <w:rPr>
          <w:rFonts w:asciiTheme="minorHAnsi" w:hAnsiTheme="minorHAnsi" w:cstheme="minorHAnsi"/>
          <w:sz w:val="22"/>
          <w:szCs w:val="20"/>
        </w:rPr>
        <w:t>tro</w:t>
      </w:r>
      <w:proofErr w:type="spellEnd"/>
      <w:r w:rsidR="00100E03" w:rsidRPr="0052300E">
        <w:rPr>
          <w:rFonts w:asciiTheme="minorHAnsi" w:hAnsiTheme="minorHAnsi" w:cstheme="minorHAnsi"/>
          <w:sz w:val="22"/>
          <w:szCs w:val="20"/>
          <w:lang w:val="sr-Latn-CS"/>
        </w:rPr>
        <w:t>š</w:t>
      </w:r>
      <w:proofErr w:type="spellStart"/>
      <w:r w:rsidR="00100E03" w:rsidRPr="0052300E">
        <w:rPr>
          <w:rFonts w:asciiTheme="minorHAnsi" w:hAnsiTheme="minorHAnsi" w:cstheme="minorHAnsi"/>
          <w:sz w:val="22"/>
          <w:szCs w:val="20"/>
        </w:rPr>
        <w:t>kove</w:t>
      </w:r>
      <w:proofErr w:type="spellEnd"/>
      <w:r w:rsidR="00100E03" w:rsidRPr="0052300E">
        <w:rPr>
          <w:rFonts w:asciiTheme="minorHAnsi" w:hAnsiTheme="minorHAnsi" w:cstheme="minorHAnsi"/>
          <w:sz w:val="22"/>
          <w:szCs w:val="20"/>
          <w:lang w:val="sr-Latn-CS"/>
        </w:rPr>
        <w:t xml:space="preserve"> </w:t>
      </w:r>
      <w:proofErr w:type="spellStart"/>
      <w:r w:rsidR="00100E03" w:rsidRPr="0052300E">
        <w:rPr>
          <w:rFonts w:asciiTheme="minorHAnsi" w:hAnsiTheme="minorHAnsi" w:cstheme="minorHAnsi"/>
          <w:sz w:val="22"/>
          <w:szCs w:val="20"/>
        </w:rPr>
        <w:t>elektri</w:t>
      </w:r>
      <w:proofErr w:type="spellEnd"/>
      <w:r w:rsidR="00100E03" w:rsidRPr="0052300E">
        <w:rPr>
          <w:rFonts w:asciiTheme="minorHAnsi" w:hAnsiTheme="minorHAnsi" w:cstheme="minorHAnsi"/>
          <w:sz w:val="22"/>
          <w:szCs w:val="20"/>
          <w:lang w:val="sr-Latn-CS"/>
        </w:rPr>
        <w:t>č</w:t>
      </w:r>
      <w:r w:rsidR="00100E03" w:rsidRPr="0052300E">
        <w:rPr>
          <w:rFonts w:asciiTheme="minorHAnsi" w:hAnsiTheme="minorHAnsi" w:cstheme="minorHAnsi"/>
          <w:sz w:val="22"/>
          <w:szCs w:val="20"/>
        </w:rPr>
        <w:t>ne</w:t>
      </w:r>
      <w:r w:rsidR="00100E03" w:rsidRPr="0052300E">
        <w:rPr>
          <w:rFonts w:asciiTheme="minorHAnsi" w:hAnsiTheme="minorHAnsi" w:cstheme="minorHAnsi"/>
          <w:sz w:val="22"/>
          <w:szCs w:val="20"/>
          <w:lang w:val="sr-Latn-CS"/>
        </w:rPr>
        <w:t xml:space="preserve"> </w:t>
      </w:r>
      <w:proofErr w:type="spellStart"/>
      <w:r w:rsidR="00100E03" w:rsidRPr="0052300E">
        <w:rPr>
          <w:rFonts w:asciiTheme="minorHAnsi" w:hAnsiTheme="minorHAnsi" w:cstheme="minorHAnsi"/>
          <w:sz w:val="22"/>
          <w:szCs w:val="20"/>
        </w:rPr>
        <w:t>energije</w:t>
      </w:r>
      <w:proofErr w:type="spellEnd"/>
      <w:r w:rsidR="00100E03" w:rsidRPr="0052300E">
        <w:rPr>
          <w:rFonts w:asciiTheme="minorHAnsi" w:hAnsiTheme="minorHAnsi" w:cstheme="minorHAnsi"/>
          <w:sz w:val="22"/>
          <w:szCs w:val="20"/>
          <w:lang w:val="sr-Latn-CS"/>
        </w:rPr>
        <w:t xml:space="preserve">, </w:t>
      </w:r>
      <w:proofErr w:type="spellStart"/>
      <w:r w:rsidR="00100E03" w:rsidRPr="0052300E">
        <w:rPr>
          <w:rFonts w:asciiTheme="minorHAnsi" w:hAnsiTheme="minorHAnsi" w:cstheme="minorHAnsi"/>
          <w:sz w:val="22"/>
          <w:szCs w:val="20"/>
        </w:rPr>
        <w:t>tro</w:t>
      </w:r>
      <w:proofErr w:type="spellEnd"/>
      <w:r w:rsidR="00100E03" w:rsidRPr="0052300E">
        <w:rPr>
          <w:rFonts w:asciiTheme="minorHAnsi" w:hAnsiTheme="minorHAnsi" w:cstheme="minorHAnsi"/>
          <w:sz w:val="22"/>
          <w:szCs w:val="20"/>
          <w:lang w:val="sr-Latn-CS"/>
        </w:rPr>
        <w:t>š</w:t>
      </w:r>
      <w:proofErr w:type="spellStart"/>
      <w:r w:rsidR="00100E03" w:rsidRPr="0052300E">
        <w:rPr>
          <w:rFonts w:asciiTheme="minorHAnsi" w:hAnsiTheme="minorHAnsi" w:cstheme="minorHAnsi"/>
          <w:sz w:val="22"/>
          <w:szCs w:val="20"/>
        </w:rPr>
        <w:t>kove</w:t>
      </w:r>
      <w:proofErr w:type="spellEnd"/>
      <w:r w:rsidR="00100E03" w:rsidRPr="0052300E">
        <w:rPr>
          <w:rFonts w:asciiTheme="minorHAnsi" w:hAnsiTheme="minorHAnsi" w:cstheme="minorHAnsi"/>
          <w:sz w:val="22"/>
          <w:szCs w:val="20"/>
          <w:lang w:val="sr-Latn-CS"/>
        </w:rPr>
        <w:t xml:space="preserve"> </w:t>
      </w:r>
      <w:proofErr w:type="spellStart"/>
      <w:r w:rsidR="00100E03" w:rsidRPr="0052300E">
        <w:rPr>
          <w:rFonts w:asciiTheme="minorHAnsi" w:hAnsiTheme="minorHAnsi" w:cstheme="minorHAnsi"/>
          <w:sz w:val="22"/>
          <w:szCs w:val="20"/>
        </w:rPr>
        <w:t>vode</w:t>
      </w:r>
      <w:proofErr w:type="spellEnd"/>
      <w:r w:rsidR="00100E03" w:rsidRPr="0052300E">
        <w:rPr>
          <w:rFonts w:asciiTheme="minorHAnsi" w:hAnsiTheme="minorHAnsi" w:cstheme="minorHAnsi"/>
          <w:sz w:val="22"/>
          <w:szCs w:val="20"/>
          <w:lang w:val="sr-Latn-CS"/>
        </w:rPr>
        <w:t xml:space="preserve">, </w:t>
      </w:r>
      <w:proofErr w:type="spellStart"/>
      <w:r w:rsidR="00100E03" w:rsidRPr="0052300E">
        <w:rPr>
          <w:rFonts w:asciiTheme="minorHAnsi" w:hAnsiTheme="minorHAnsi" w:cstheme="minorHAnsi"/>
          <w:sz w:val="22"/>
          <w:szCs w:val="20"/>
        </w:rPr>
        <w:t>grejanja</w:t>
      </w:r>
      <w:proofErr w:type="spellEnd"/>
      <w:r w:rsidR="00100E03" w:rsidRPr="0052300E">
        <w:rPr>
          <w:rFonts w:asciiTheme="minorHAnsi" w:hAnsiTheme="minorHAnsi" w:cstheme="minorHAnsi"/>
          <w:sz w:val="22"/>
          <w:szCs w:val="20"/>
          <w:lang w:val="sr-Latn-CS"/>
        </w:rPr>
        <w:t xml:space="preserve">, </w:t>
      </w:r>
      <w:proofErr w:type="spellStart"/>
      <w:r w:rsidR="00100E03" w:rsidRPr="0052300E">
        <w:rPr>
          <w:rFonts w:asciiTheme="minorHAnsi" w:hAnsiTheme="minorHAnsi" w:cstheme="minorHAnsi"/>
          <w:sz w:val="22"/>
          <w:szCs w:val="20"/>
        </w:rPr>
        <w:t>odr</w:t>
      </w:r>
      <w:proofErr w:type="spellEnd"/>
      <w:r w:rsidR="00100E03" w:rsidRPr="0052300E">
        <w:rPr>
          <w:rFonts w:asciiTheme="minorHAnsi" w:hAnsiTheme="minorHAnsi" w:cstheme="minorHAnsi"/>
          <w:sz w:val="22"/>
          <w:szCs w:val="20"/>
          <w:lang w:val="sr-Latn-CS"/>
        </w:rPr>
        <w:t>ž</w:t>
      </w:r>
      <w:proofErr w:type="spellStart"/>
      <w:r w:rsidR="00100E03" w:rsidRPr="0052300E">
        <w:rPr>
          <w:rFonts w:asciiTheme="minorHAnsi" w:hAnsiTheme="minorHAnsi" w:cstheme="minorHAnsi"/>
          <w:sz w:val="22"/>
          <w:szCs w:val="20"/>
        </w:rPr>
        <w:t>avanja</w:t>
      </w:r>
      <w:proofErr w:type="spellEnd"/>
      <w:r w:rsidR="00100E03" w:rsidRPr="0052300E">
        <w:rPr>
          <w:rFonts w:asciiTheme="minorHAnsi" w:hAnsiTheme="minorHAnsi" w:cstheme="minorHAnsi"/>
          <w:sz w:val="22"/>
          <w:szCs w:val="20"/>
          <w:lang w:val="sr-Latn-CS"/>
        </w:rPr>
        <w:t xml:space="preserve"> </w:t>
      </w:r>
      <w:proofErr w:type="spellStart"/>
      <w:r w:rsidR="00100E03" w:rsidRPr="0052300E">
        <w:rPr>
          <w:rFonts w:asciiTheme="minorHAnsi" w:hAnsiTheme="minorHAnsi" w:cstheme="minorHAnsi"/>
          <w:sz w:val="22"/>
          <w:szCs w:val="20"/>
        </w:rPr>
        <w:t>higijene</w:t>
      </w:r>
      <w:proofErr w:type="spellEnd"/>
      <w:r w:rsidR="00100E03" w:rsidRPr="0052300E">
        <w:rPr>
          <w:rFonts w:asciiTheme="minorHAnsi" w:hAnsiTheme="minorHAnsi" w:cstheme="minorHAnsi"/>
          <w:sz w:val="22"/>
          <w:szCs w:val="20"/>
          <w:lang w:val="sr-Latn-CS"/>
        </w:rPr>
        <w:t xml:space="preserve">, </w:t>
      </w:r>
      <w:proofErr w:type="spellStart"/>
      <w:r w:rsidR="00100E03" w:rsidRPr="0052300E">
        <w:rPr>
          <w:rFonts w:asciiTheme="minorHAnsi" w:hAnsiTheme="minorHAnsi" w:cstheme="minorHAnsi"/>
          <w:sz w:val="22"/>
          <w:szCs w:val="20"/>
        </w:rPr>
        <w:t>izno</w:t>
      </w:r>
      <w:proofErr w:type="spellEnd"/>
      <w:r w:rsidR="00100E03" w:rsidRPr="0052300E">
        <w:rPr>
          <w:rFonts w:asciiTheme="minorHAnsi" w:hAnsiTheme="minorHAnsi" w:cstheme="minorHAnsi"/>
          <w:sz w:val="22"/>
          <w:szCs w:val="20"/>
          <w:lang w:val="sr-Latn-CS"/>
        </w:rPr>
        <w:t>š</w:t>
      </w:r>
      <w:proofErr w:type="spellStart"/>
      <w:r w:rsidR="00100E03" w:rsidRPr="0052300E">
        <w:rPr>
          <w:rFonts w:asciiTheme="minorHAnsi" w:hAnsiTheme="minorHAnsi" w:cstheme="minorHAnsi"/>
          <w:sz w:val="22"/>
          <w:szCs w:val="20"/>
        </w:rPr>
        <w:t>enja</w:t>
      </w:r>
      <w:proofErr w:type="spellEnd"/>
      <w:r w:rsidR="00100E03" w:rsidRPr="0052300E">
        <w:rPr>
          <w:rFonts w:asciiTheme="minorHAnsi" w:hAnsiTheme="minorHAnsi" w:cstheme="minorHAnsi"/>
          <w:sz w:val="22"/>
          <w:szCs w:val="20"/>
          <w:lang w:val="sr-Latn-CS"/>
        </w:rPr>
        <w:t xml:space="preserve"> </w:t>
      </w:r>
      <w:proofErr w:type="spellStart"/>
      <w:r w:rsidR="00100E03" w:rsidRPr="0052300E">
        <w:rPr>
          <w:rFonts w:asciiTheme="minorHAnsi" w:hAnsiTheme="minorHAnsi" w:cstheme="minorHAnsi"/>
          <w:sz w:val="22"/>
          <w:szCs w:val="20"/>
        </w:rPr>
        <w:t>sme</w:t>
      </w:r>
      <w:proofErr w:type="spellEnd"/>
      <w:r w:rsidR="00100E03" w:rsidRPr="0052300E">
        <w:rPr>
          <w:rFonts w:asciiTheme="minorHAnsi" w:hAnsiTheme="minorHAnsi" w:cstheme="minorHAnsi"/>
          <w:sz w:val="22"/>
          <w:szCs w:val="20"/>
          <w:lang w:val="sr-Latn-CS"/>
        </w:rPr>
        <w:t>ć</w:t>
      </w:r>
      <w:r w:rsidR="00100E03" w:rsidRPr="0052300E">
        <w:rPr>
          <w:rFonts w:asciiTheme="minorHAnsi" w:hAnsiTheme="minorHAnsi" w:cstheme="minorHAnsi"/>
          <w:sz w:val="22"/>
          <w:szCs w:val="20"/>
        </w:rPr>
        <w:t>a</w:t>
      </w:r>
      <w:r w:rsidR="00100E03" w:rsidRPr="0052300E">
        <w:rPr>
          <w:rFonts w:asciiTheme="minorHAnsi" w:hAnsiTheme="minorHAnsi" w:cstheme="minorHAnsi"/>
          <w:sz w:val="22"/>
          <w:szCs w:val="20"/>
          <w:lang w:val="sr-Latn-CS"/>
        </w:rPr>
        <w:t xml:space="preserve">. </w:t>
      </w:r>
      <w:proofErr w:type="spellStart"/>
      <w:r w:rsidR="00100E03" w:rsidRPr="0052300E">
        <w:rPr>
          <w:rFonts w:asciiTheme="minorHAnsi" w:hAnsiTheme="minorHAnsi" w:cstheme="minorHAnsi"/>
          <w:sz w:val="22"/>
          <w:szCs w:val="20"/>
        </w:rPr>
        <w:t>Prema</w:t>
      </w:r>
      <w:proofErr w:type="spellEnd"/>
      <w:r w:rsidR="00100E03" w:rsidRPr="0052300E">
        <w:rPr>
          <w:rFonts w:asciiTheme="minorHAnsi" w:hAnsiTheme="minorHAnsi" w:cstheme="minorHAnsi"/>
          <w:sz w:val="22"/>
          <w:szCs w:val="20"/>
        </w:rPr>
        <w:t xml:space="preserve"> </w:t>
      </w:r>
      <w:proofErr w:type="spellStart"/>
      <w:r w:rsidR="00100E03" w:rsidRPr="0052300E">
        <w:rPr>
          <w:rFonts w:asciiTheme="minorHAnsi" w:hAnsiTheme="minorHAnsi" w:cstheme="minorHAnsi"/>
          <w:sz w:val="22"/>
          <w:szCs w:val="20"/>
        </w:rPr>
        <w:t>Pravilniku</w:t>
      </w:r>
      <w:proofErr w:type="spellEnd"/>
      <w:r w:rsidR="00100E03" w:rsidRPr="0052300E">
        <w:rPr>
          <w:rFonts w:asciiTheme="minorHAnsi" w:hAnsiTheme="minorHAnsi" w:cstheme="minorHAnsi"/>
          <w:sz w:val="22"/>
          <w:szCs w:val="20"/>
        </w:rPr>
        <w:t xml:space="preserve"> o </w:t>
      </w:r>
      <w:proofErr w:type="spellStart"/>
      <w:r w:rsidR="00100E03" w:rsidRPr="0052300E">
        <w:rPr>
          <w:rFonts w:asciiTheme="minorHAnsi" w:hAnsiTheme="minorHAnsi" w:cstheme="minorHAnsi"/>
          <w:sz w:val="22"/>
          <w:szCs w:val="20"/>
        </w:rPr>
        <w:t>kriterijumima</w:t>
      </w:r>
      <w:proofErr w:type="spellEnd"/>
      <w:r w:rsidR="00100E03" w:rsidRPr="0052300E">
        <w:rPr>
          <w:rFonts w:asciiTheme="minorHAnsi" w:hAnsiTheme="minorHAnsi" w:cstheme="minorHAnsi"/>
          <w:sz w:val="22"/>
          <w:szCs w:val="20"/>
        </w:rPr>
        <w:t xml:space="preserve"> </w:t>
      </w:r>
      <w:proofErr w:type="spellStart"/>
      <w:r w:rsidR="00100E03" w:rsidRPr="0052300E">
        <w:rPr>
          <w:rFonts w:asciiTheme="minorHAnsi" w:hAnsiTheme="minorHAnsi" w:cstheme="minorHAnsi"/>
          <w:sz w:val="22"/>
          <w:szCs w:val="20"/>
        </w:rPr>
        <w:t>i</w:t>
      </w:r>
      <w:proofErr w:type="spellEnd"/>
      <w:r w:rsidR="00100E03" w:rsidRPr="0052300E">
        <w:rPr>
          <w:rFonts w:asciiTheme="minorHAnsi" w:hAnsiTheme="minorHAnsi" w:cstheme="minorHAnsi"/>
          <w:sz w:val="22"/>
          <w:szCs w:val="20"/>
        </w:rPr>
        <w:t xml:space="preserve"> </w:t>
      </w:r>
      <w:proofErr w:type="spellStart"/>
      <w:r w:rsidR="00100E03" w:rsidRPr="0052300E">
        <w:rPr>
          <w:rFonts w:asciiTheme="minorHAnsi" w:hAnsiTheme="minorHAnsi" w:cstheme="minorHAnsi"/>
          <w:sz w:val="22"/>
          <w:szCs w:val="20"/>
        </w:rPr>
        <w:t>standardima</w:t>
      </w:r>
      <w:proofErr w:type="spellEnd"/>
      <w:r w:rsidR="00100E03" w:rsidRPr="0052300E">
        <w:rPr>
          <w:rFonts w:asciiTheme="minorHAnsi" w:hAnsiTheme="minorHAnsi" w:cstheme="minorHAnsi"/>
          <w:sz w:val="22"/>
          <w:szCs w:val="20"/>
        </w:rPr>
        <w:t xml:space="preserve"> za </w:t>
      </w:r>
      <w:proofErr w:type="spellStart"/>
      <w:r w:rsidR="00100E03" w:rsidRPr="0052300E">
        <w:rPr>
          <w:rFonts w:asciiTheme="minorHAnsi" w:hAnsiTheme="minorHAnsi" w:cstheme="minorHAnsi"/>
          <w:sz w:val="22"/>
          <w:szCs w:val="20"/>
        </w:rPr>
        <w:t>finansiranje</w:t>
      </w:r>
      <w:proofErr w:type="spellEnd"/>
      <w:r w:rsidR="00100E03" w:rsidRPr="0052300E">
        <w:rPr>
          <w:rFonts w:asciiTheme="minorHAnsi" w:hAnsiTheme="minorHAnsi" w:cstheme="minorHAnsi"/>
          <w:sz w:val="22"/>
          <w:szCs w:val="20"/>
        </w:rPr>
        <w:t xml:space="preserve"> </w:t>
      </w:r>
      <w:proofErr w:type="spellStart"/>
      <w:r w:rsidR="00100E03" w:rsidRPr="0052300E">
        <w:rPr>
          <w:rFonts w:asciiTheme="minorHAnsi" w:hAnsiTheme="minorHAnsi" w:cstheme="minorHAnsi"/>
          <w:sz w:val="22"/>
          <w:szCs w:val="20"/>
        </w:rPr>
        <w:t>ustanove</w:t>
      </w:r>
      <w:proofErr w:type="spellEnd"/>
      <w:r w:rsidR="00100E03" w:rsidRPr="0052300E">
        <w:rPr>
          <w:rFonts w:asciiTheme="minorHAnsi" w:hAnsiTheme="minorHAnsi" w:cstheme="minorHAnsi"/>
          <w:sz w:val="22"/>
          <w:szCs w:val="20"/>
        </w:rPr>
        <w:t xml:space="preserve"> </w:t>
      </w:r>
      <w:proofErr w:type="spellStart"/>
      <w:r w:rsidR="00100E03" w:rsidRPr="0052300E">
        <w:rPr>
          <w:rFonts w:asciiTheme="minorHAnsi" w:hAnsiTheme="minorHAnsi" w:cstheme="minorHAnsi"/>
          <w:sz w:val="22"/>
          <w:szCs w:val="20"/>
        </w:rPr>
        <w:t>koja</w:t>
      </w:r>
      <w:proofErr w:type="spellEnd"/>
      <w:r w:rsidR="00100E03" w:rsidRPr="0052300E">
        <w:rPr>
          <w:rFonts w:asciiTheme="minorHAnsi" w:hAnsiTheme="minorHAnsi" w:cstheme="minorHAnsi"/>
          <w:sz w:val="22"/>
          <w:szCs w:val="20"/>
        </w:rPr>
        <w:t xml:space="preserve"> </w:t>
      </w:r>
      <w:proofErr w:type="spellStart"/>
      <w:r w:rsidR="00100E03" w:rsidRPr="0052300E">
        <w:rPr>
          <w:rFonts w:asciiTheme="minorHAnsi" w:hAnsiTheme="minorHAnsi" w:cstheme="minorHAnsi"/>
          <w:sz w:val="22"/>
          <w:szCs w:val="20"/>
        </w:rPr>
        <w:t>obavlja</w:t>
      </w:r>
      <w:proofErr w:type="spellEnd"/>
      <w:r w:rsidR="00100E03" w:rsidRPr="0052300E">
        <w:rPr>
          <w:rFonts w:asciiTheme="minorHAnsi" w:hAnsiTheme="minorHAnsi" w:cstheme="minorHAnsi"/>
          <w:sz w:val="22"/>
          <w:szCs w:val="20"/>
        </w:rPr>
        <w:t xml:space="preserve"> </w:t>
      </w:r>
      <w:proofErr w:type="spellStart"/>
      <w:r w:rsidR="00100E03" w:rsidRPr="0052300E">
        <w:rPr>
          <w:rFonts w:asciiTheme="minorHAnsi" w:hAnsiTheme="minorHAnsi" w:cstheme="minorHAnsi"/>
          <w:sz w:val="22"/>
          <w:szCs w:val="20"/>
        </w:rPr>
        <w:t>delatnost</w:t>
      </w:r>
      <w:proofErr w:type="spellEnd"/>
      <w:r w:rsidR="00100E03" w:rsidRPr="0052300E">
        <w:rPr>
          <w:rFonts w:asciiTheme="minorHAnsi" w:hAnsiTheme="minorHAnsi" w:cstheme="minorHAnsi"/>
          <w:sz w:val="22"/>
          <w:szCs w:val="20"/>
        </w:rPr>
        <w:t xml:space="preserve"> </w:t>
      </w:r>
      <w:proofErr w:type="spellStart"/>
      <w:r w:rsidR="00100E03" w:rsidRPr="0052300E">
        <w:rPr>
          <w:rFonts w:asciiTheme="minorHAnsi" w:hAnsiTheme="minorHAnsi" w:cstheme="minorHAnsi"/>
          <w:sz w:val="22"/>
          <w:szCs w:val="20"/>
        </w:rPr>
        <w:t>srednjeg</w:t>
      </w:r>
      <w:proofErr w:type="spellEnd"/>
      <w:r w:rsidR="00100E03" w:rsidRPr="0052300E">
        <w:rPr>
          <w:rFonts w:asciiTheme="minorHAnsi" w:hAnsiTheme="minorHAnsi" w:cstheme="minorHAnsi"/>
          <w:sz w:val="22"/>
          <w:szCs w:val="20"/>
        </w:rPr>
        <w:t xml:space="preserve"> </w:t>
      </w:r>
      <w:proofErr w:type="spellStart"/>
      <w:r w:rsidR="00100E03" w:rsidRPr="0052300E">
        <w:rPr>
          <w:rFonts w:asciiTheme="minorHAnsi" w:hAnsiTheme="minorHAnsi" w:cstheme="minorHAnsi"/>
          <w:sz w:val="22"/>
          <w:szCs w:val="20"/>
        </w:rPr>
        <w:t>obrazovanja</w:t>
      </w:r>
      <w:proofErr w:type="spellEnd"/>
      <w:r w:rsidR="00100E03" w:rsidRPr="0052300E">
        <w:rPr>
          <w:rFonts w:asciiTheme="minorHAnsi" w:hAnsiTheme="minorHAnsi" w:cstheme="minorHAnsi"/>
          <w:sz w:val="22"/>
          <w:szCs w:val="20"/>
        </w:rPr>
        <w:t xml:space="preserve"> </w:t>
      </w:r>
      <w:proofErr w:type="spellStart"/>
      <w:r w:rsidR="00100E03" w:rsidRPr="0052300E">
        <w:rPr>
          <w:rFonts w:asciiTheme="minorHAnsi" w:hAnsiTheme="minorHAnsi" w:cstheme="minorHAnsi"/>
          <w:sz w:val="22"/>
          <w:szCs w:val="20"/>
        </w:rPr>
        <w:t>i</w:t>
      </w:r>
      <w:proofErr w:type="spellEnd"/>
      <w:r w:rsidR="00100E03" w:rsidRPr="0052300E">
        <w:rPr>
          <w:rFonts w:asciiTheme="minorHAnsi" w:hAnsiTheme="minorHAnsi" w:cstheme="minorHAnsi"/>
          <w:sz w:val="22"/>
          <w:szCs w:val="20"/>
        </w:rPr>
        <w:t xml:space="preserve"> </w:t>
      </w:r>
      <w:proofErr w:type="spellStart"/>
      <w:r w:rsidR="00100E03" w:rsidRPr="0052300E">
        <w:rPr>
          <w:rFonts w:asciiTheme="minorHAnsi" w:hAnsiTheme="minorHAnsi" w:cstheme="minorHAnsi"/>
          <w:sz w:val="22"/>
          <w:szCs w:val="20"/>
        </w:rPr>
        <w:t>vaspitanja</w:t>
      </w:r>
      <w:proofErr w:type="spellEnd"/>
      <w:r w:rsidR="00100E03" w:rsidRPr="0052300E">
        <w:rPr>
          <w:rStyle w:val="FootnoteReference"/>
          <w:rFonts w:asciiTheme="minorHAnsi" w:hAnsiTheme="minorHAnsi" w:cstheme="minorHAnsi"/>
          <w:sz w:val="22"/>
          <w:szCs w:val="20"/>
        </w:rPr>
        <w:footnoteReference w:id="6"/>
      </w:r>
      <w:r w:rsidR="00100E03" w:rsidRPr="0052300E">
        <w:rPr>
          <w:rFonts w:asciiTheme="minorHAnsi" w:hAnsiTheme="minorHAnsi" w:cstheme="minorHAnsi"/>
          <w:sz w:val="22"/>
          <w:szCs w:val="20"/>
          <w:lang w:val="sr-Latn-CS"/>
        </w:rPr>
        <w:t xml:space="preserve">, </w:t>
      </w:r>
      <w:proofErr w:type="spellStart"/>
      <w:r w:rsidR="00100E03" w:rsidRPr="0052300E">
        <w:rPr>
          <w:rFonts w:asciiTheme="minorHAnsi" w:hAnsiTheme="minorHAnsi" w:cstheme="minorHAnsi"/>
          <w:sz w:val="22"/>
          <w:szCs w:val="20"/>
        </w:rPr>
        <w:t>materijalni</w:t>
      </w:r>
      <w:proofErr w:type="spellEnd"/>
      <w:r w:rsidR="00100E03" w:rsidRPr="0052300E">
        <w:rPr>
          <w:rFonts w:asciiTheme="minorHAnsi" w:hAnsiTheme="minorHAnsi" w:cstheme="minorHAnsi"/>
          <w:sz w:val="22"/>
          <w:szCs w:val="20"/>
          <w:lang w:val="sr-Latn-CS"/>
        </w:rPr>
        <w:t xml:space="preserve"> </w:t>
      </w:r>
      <w:proofErr w:type="spellStart"/>
      <w:r w:rsidR="00100E03" w:rsidRPr="0052300E">
        <w:rPr>
          <w:rFonts w:asciiTheme="minorHAnsi" w:hAnsiTheme="minorHAnsi" w:cstheme="minorHAnsi"/>
          <w:sz w:val="22"/>
          <w:szCs w:val="20"/>
        </w:rPr>
        <w:t>tro</w:t>
      </w:r>
      <w:proofErr w:type="spellEnd"/>
      <w:r w:rsidR="00100E03" w:rsidRPr="0052300E">
        <w:rPr>
          <w:rFonts w:asciiTheme="minorHAnsi" w:hAnsiTheme="minorHAnsi" w:cstheme="minorHAnsi"/>
          <w:sz w:val="22"/>
          <w:szCs w:val="20"/>
          <w:lang w:val="sr-Latn-CS"/>
        </w:rPr>
        <w:t>š</w:t>
      </w:r>
      <w:proofErr w:type="spellStart"/>
      <w:r w:rsidR="00100E03" w:rsidRPr="0052300E">
        <w:rPr>
          <w:rFonts w:asciiTheme="minorHAnsi" w:hAnsiTheme="minorHAnsi" w:cstheme="minorHAnsi"/>
          <w:sz w:val="22"/>
          <w:szCs w:val="20"/>
        </w:rPr>
        <w:t>kovi</w:t>
      </w:r>
      <w:proofErr w:type="spellEnd"/>
      <w:r w:rsidR="00100E03" w:rsidRPr="0052300E">
        <w:rPr>
          <w:rFonts w:asciiTheme="minorHAnsi" w:hAnsiTheme="minorHAnsi" w:cstheme="minorHAnsi"/>
          <w:sz w:val="22"/>
          <w:szCs w:val="20"/>
          <w:lang w:val="sr-Latn-CS"/>
        </w:rPr>
        <w:t xml:space="preserve"> </w:t>
      </w:r>
      <w:proofErr w:type="spellStart"/>
      <w:r w:rsidR="00100E03" w:rsidRPr="0052300E">
        <w:rPr>
          <w:rFonts w:asciiTheme="minorHAnsi" w:hAnsiTheme="minorHAnsi" w:cstheme="minorHAnsi"/>
          <w:sz w:val="22"/>
          <w:szCs w:val="20"/>
        </w:rPr>
        <w:t>uklju</w:t>
      </w:r>
      <w:proofErr w:type="spellEnd"/>
      <w:r w:rsidR="00100E03" w:rsidRPr="0052300E">
        <w:rPr>
          <w:rFonts w:asciiTheme="minorHAnsi" w:hAnsiTheme="minorHAnsi" w:cstheme="minorHAnsi"/>
          <w:sz w:val="22"/>
          <w:szCs w:val="20"/>
          <w:lang w:val="sr-Latn-CS"/>
        </w:rPr>
        <w:t>č</w:t>
      </w:r>
      <w:proofErr w:type="spellStart"/>
      <w:r w:rsidR="00100E03" w:rsidRPr="0052300E">
        <w:rPr>
          <w:rFonts w:asciiTheme="minorHAnsi" w:hAnsiTheme="minorHAnsi" w:cstheme="minorHAnsi"/>
          <w:sz w:val="22"/>
          <w:szCs w:val="20"/>
        </w:rPr>
        <w:t>uju</w:t>
      </w:r>
      <w:proofErr w:type="spellEnd"/>
      <w:r w:rsidR="00100E03" w:rsidRPr="0052300E">
        <w:rPr>
          <w:rFonts w:asciiTheme="minorHAnsi" w:hAnsiTheme="minorHAnsi" w:cstheme="minorHAnsi"/>
          <w:sz w:val="22"/>
          <w:szCs w:val="20"/>
          <w:lang w:val="sr-Latn-CS"/>
        </w:rPr>
        <w:t xml:space="preserve"> </w:t>
      </w:r>
      <w:proofErr w:type="spellStart"/>
      <w:r w:rsidR="00100E03" w:rsidRPr="0052300E">
        <w:rPr>
          <w:rFonts w:asciiTheme="minorHAnsi" w:hAnsiTheme="minorHAnsi" w:cstheme="minorHAnsi"/>
          <w:sz w:val="22"/>
          <w:szCs w:val="20"/>
        </w:rPr>
        <w:t>sredstva</w:t>
      </w:r>
      <w:proofErr w:type="spellEnd"/>
      <w:r w:rsidR="00100E03" w:rsidRPr="0052300E">
        <w:rPr>
          <w:rFonts w:asciiTheme="minorHAnsi" w:hAnsiTheme="minorHAnsi" w:cstheme="minorHAnsi"/>
          <w:sz w:val="22"/>
          <w:szCs w:val="20"/>
          <w:lang w:val="sr-Latn-CS"/>
        </w:rPr>
        <w:t xml:space="preserve"> </w:t>
      </w:r>
      <w:r w:rsidR="00100E03" w:rsidRPr="0052300E">
        <w:rPr>
          <w:rFonts w:asciiTheme="minorHAnsi" w:hAnsiTheme="minorHAnsi" w:cstheme="minorHAnsi"/>
          <w:sz w:val="22"/>
          <w:szCs w:val="20"/>
        </w:rPr>
        <w:t>za</w:t>
      </w:r>
      <w:r w:rsidR="00100E03" w:rsidRPr="0052300E">
        <w:rPr>
          <w:rFonts w:asciiTheme="minorHAnsi" w:hAnsiTheme="minorHAnsi" w:cstheme="minorHAnsi"/>
          <w:sz w:val="22"/>
          <w:szCs w:val="20"/>
          <w:lang w:val="sr-Latn-CS"/>
        </w:rPr>
        <w:t xml:space="preserve"> </w:t>
      </w:r>
      <w:proofErr w:type="spellStart"/>
      <w:r w:rsidR="00100E03" w:rsidRPr="0052300E">
        <w:rPr>
          <w:rFonts w:asciiTheme="minorHAnsi" w:hAnsiTheme="minorHAnsi" w:cstheme="minorHAnsi"/>
          <w:sz w:val="22"/>
          <w:szCs w:val="20"/>
        </w:rPr>
        <w:t>materijalne</w:t>
      </w:r>
      <w:proofErr w:type="spellEnd"/>
      <w:r w:rsidR="00100E03" w:rsidRPr="0052300E">
        <w:rPr>
          <w:rFonts w:asciiTheme="minorHAnsi" w:hAnsiTheme="minorHAnsi" w:cstheme="minorHAnsi"/>
          <w:sz w:val="22"/>
          <w:szCs w:val="20"/>
          <w:lang w:val="sr-Latn-CS"/>
        </w:rPr>
        <w:t xml:space="preserve"> </w:t>
      </w:r>
      <w:proofErr w:type="spellStart"/>
      <w:r w:rsidR="00100E03" w:rsidRPr="0052300E">
        <w:rPr>
          <w:rFonts w:asciiTheme="minorHAnsi" w:hAnsiTheme="minorHAnsi" w:cstheme="minorHAnsi"/>
          <w:sz w:val="22"/>
          <w:szCs w:val="20"/>
        </w:rPr>
        <w:t>tro</w:t>
      </w:r>
      <w:proofErr w:type="spellEnd"/>
      <w:r w:rsidR="00100E03" w:rsidRPr="0052300E">
        <w:rPr>
          <w:rFonts w:asciiTheme="minorHAnsi" w:hAnsiTheme="minorHAnsi" w:cstheme="minorHAnsi"/>
          <w:sz w:val="22"/>
          <w:szCs w:val="20"/>
          <w:lang w:val="sr-Latn-CS"/>
        </w:rPr>
        <w:t>š</w:t>
      </w:r>
      <w:proofErr w:type="spellStart"/>
      <w:r w:rsidR="00100E03" w:rsidRPr="0052300E">
        <w:rPr>
          <w:rFonts w:asciiTheme="minorHAnsi" w:hAnsiTheme="minorHAnsi" w:cstheme="minorHAnsi"/>
          <w:sz w:val="22"/>
          <w:szCs w:val="20"/>
        </w:rPr>
        <w:t>kove</w:t>
      </w:r>
      <w:proofErr w:type="spellEnd"/>
      <w:r w:rsidR="00100E03" w:rsidRPr="0052300E">
        <w:rPr>
          <w:rFonts w:asciiTheme="minorHAnsi" w:hAnsiTheme="minorHAnsi" w:cstheme="minorHAnsi"/>
          <w:sz w:val="22"/>
          <w:szCs w:val="20"/>
          <w:lang w:val="sr-Latn-CS"/>
        </w:rPr>
        <w:t xml:space="preserve"> </w:t>
      </w:r>
      <w:proofErr w:type="spellStart"/>
      <w:r w:rsidR="00100E03" w:rsidRPr="0052300E">
        <w:rPr>
          <w:rFonts w:asciiTheme="minorHAnsi" w:hAnsiTheme="minorHAnsi" w:cstheme="minorHAnsi"/>
          <w:sz w:val="22"/>
          <w:szCs w:val="20"/>
        </w:rPr>
        <w:t>nastave</w:t>
      </w:r>
      <w:proofErr w:type="spellEnd"/>
      <w:r w:rsidR="00100E03" w:rsidRPr="0052300E">
        <w:rPr>
          <w:rFonts w:asciiTheme="minorHAnsi" w:hAnsiTheme="minorHAnsi" w:cstheme="minorHAnsi"/>
          <w:sz w:val="22"/>
          <w:szCs w:val="20"/>
          <w:lang w:val="sr-Latn-CS"/>
        </w:rPr>
        <w:t xml:space="preserve"> </w:t>
      </w:r>
      <w:r w:rsidR="00100E03" w:rsidRPr="0052300E">
        <w:rPr>
          <w:rFonts w:asciiTheme="minorHAnsi" w:hAnsiTheme="minorHAnsi" w:cstheme="minorHAnsi"/>
          <w:sz w:val="22"/>
          <w:szCs w:val="20"/>
        </w:rPr>
        <w:t>koji</w:t>
      </w:r>
      <w:r w:rsidR="00100E03" w:rsidRPr="0052300E">
        <w:rPr>
          <w:rFonts w:asciiTheme="minorHAnsi" w:hAnsiTheme="minorHAnsi" w:cstheme="minorHAnsi"/>
          <w:sz w:val="22"/>
          <w:szCs w:val="20"/>
          <w:lang w:val="sr-Latn-CS"/>
        </w:rPr>
        <w:t xml:space="preserve"> </w:t>
      </w:r>
      <w:r w:rsidR="00100E03" w:rsidRPr="0052300E">
        <w:rPr>
          <w:rFonts w:asciiTheme="minorHAnsi" w:hAnsiTheme="minorHAnsi" w:cstheme="minorHAnsi"/>
          <w:sz w:val="22"/>
          <w:szCs w:val="20"/>
        </w:rPr>
        <w:t>se</w:t>
      </w:r>
      <w:r w:rsidR="00100E03" w:rsidRPr="0052300E">
        <w:rPr>
          <w:rFonts w:asciiTheme="minorHAnsi" w:hAnsiTheme="minorHAnsi" w:cstheme="minorHAnsi"/>
          <w:sz w:val="22"/>
          <w:szCs w:val="20"/>
          <w:lang w:val="sr-Latn-CS"/>
        </w:rPr>
        <w:t xml:space="preserve"> </w:t>
      </w:r>
      <w:proofErr w:type="spellStart"/>
      <w:r w:rsidR="00100E03" w:rsidRPr="0052300E">
        <w:rPr>
          <w:rFonts w:asciiTheme="minorHAnsi" w:hAnsiTheme="minorHAnsi" w:cstheme="minorHAnsi"/>
          <w:sz w:val="22"/>
          <w:szCs w:val="20"/>
        </w:rPr>
        <w:t>utvr</w:t>
      </w:r>
      <w:proofErr w:type="spellEnd"/>
      <w:r w:rsidR="00100E03" w:rsidRPr="0052300E">
        <w:rPr>
          <w:rFonts w:asciiTheme="minorHAnsi" w:hAnsiTheme="minorHAnsi" w:cstheme="minorHAnsi"/>
          <w:sz w:val="22"/>
          <w:szCs w:val="20"/>
          <w:lang w:val="sr-Latn-CS"/>
        </w:rPr>
        <w:t>đ</w:t>
      </w:r>
      <w:proofErr w:type="spellStart"/>
      <w:r w:rsidR="00100E03" w:rsidRPr="0052300E">
        <w:rPr>
          <w:rFonts w:asciiTheme="minorHAnsi" w:hAnsiTheme="minorHAnsi" w:cstheme="minorHAnsi"/>
          <w:sz w:val="22"/>
          <w:szCs w:val="20"/>
        </w:rPr>
        <w:t>uju</w:t>
      </w:r>
      <w:proofErr w:type="spellEnd"/>
      <w:r w:rsidR="00100E03" w:rsidRPr="0052300E">
        <w:rPr>
          <w:rFonts w:asciiTheme="minorHAnsi" w:hAnsiTheme="minorHAnsi" w:cstheme="minorHAnsi"/>
          <w:sz w:val="22"/>
          <w:szCs w:val="20"/>
          <w:lang w:val="sr-Latn-CS"/>
        </w:rPr>
        <w:t xml:space="preserve"> </w:t>
      </w:r>
      <w:r w:rsidR="00100E03" w:rsidRPr="0052300E">
        <w:rPr>
          <w:rFonts w:asciiTheme="minorHAnsi" w:hAnsiTheme="minorHAnsi" w:cstheme="minorHAnsi"/>
          <w:sz w:val="22"/>
          <w:szCs w:val="20"/>
        </w:rPr>
        <w:t>u</w:t>
      </w:r>
      <w:r w:rsidR="00100E03" w:rsidRPr="0052300E">
        <w:rPr>
          <w:rFonts w:asciiTheme="minorHAnsi" w:hAnsiTheme="minorHAnsi" w:cstheme="minorHAnsi"/>
          <w:sz w:val="22"/>
          <w:szCs w:val="20"/>
          <w:lang w:val="sr-Latn-CS"/>
        </w:rPr>
        <w:t xml:space="preserve"> </w:t>
      </w:r>
      <w:proofErr w:type="spellStart"/>
      <w:r w:rsidR="00100E03" w:rsidRPr="0052300E">
        <w:rPr>
          <w:rFonts w:asciiTheme="minorHAnsi" w:hAnsiTheme="minorHAnsi" w:cstheme="minorHAnsi"/>
          <w:sz w:val="22"/>
          <w:szCs w:val="20"/>
        </w:rPr>
        <w:t>visini</w:t>
      </w:r>
      <w:proofErr w:type="spellEnd"/>
      <w:r w:rsidR="00100E03" w:rsidRPr="0052300E">
        <w:rPr>
          <w:rFonts w:asciiTheme="minorHAnsi" w:hAnsiTheme="minorHAnsi" w:cstheme="minorHAnsi"/>
          <w:sz w:val="22"/>
          <w:szCs w:val="20"/>
          <w:lang w:val="sr-Latn-CS"/>
        </w:rPr>
        <w:t xml:space="preserve"> </w:t>
      </w:r>
      <w:r w:rsidR="00100E03" w:rsidRPr="0052300E">
        <w:rPr>
          <w:rFonts w:asciiTheme="minorHAnsi" w:hAnsiTheme="minorHAnsi" w:cstheme="minorHAnsi"/>
          <w:sz w:val="22"/>
          <w:szCs w:val="20"/>
        </w:rPr>
        <w:t>od</w:t>
      </w:r>
      <w:r w:rsidR="00100E03" w:rsidRPr="0052300E">
        <w:rPr>
          <w:rFonts w:asciiTheme="minorHAnsi" w:hAnsiTheme="minorHAnsi" w:cstheme="minorHAnsi"/>
          <w:sz w:val="22"/>
          <w:szCs w:val="20"/>
          <w:lang w:val="sr-Latn-CS"/>
        </w:rPr>
        <w:t xml:space="preserve"> 5%, </w:t>
      </w:r>
      <w:r w:rsidR="00100E03" w:rsidRPr="0052300E">
        <w:rPr>
          <w:rFonts w:asciiTheme="minorHAnsi" w:hAnsiTheme="minorHAnsi" w:cstheme="minorHAnsi"/>
          <w:sz w:val="22"/>
          <w:szCs w:val="20"/>
        </w:rPr>
        <w:t>a</w:t>
      </w:r>
      <w:r w:rsidR="00100E03" w:rsidRPr="0052300E">
        <w:rPr>
          <w:rFonts w:asciiTheme="minorHAnsi" w:hAnsiTheme="minorHAnsi" w:cstheme="minorHAnsi"/>
          <w:sz w:val="22"/>
          <w:szCs w:val="20"/>
          <w:lang w:val="sr-Latn-CS"/>
        </w:rPr>
        <w:t xml:space="preserve"> </w:t>
      </w:r>
      <w:r w:rsidR="00100E03" w:rsidRPr="0052300E">
        <w:rPr>
          <w:rFonts w:asciiTheme="minorHAnsi" w:hAnsiTheme="minorHAnsi" w:cstheme="minorHAnsi"/>
          <w:sz w:val="22"/>
          <w:szCs w:val="20"/>
        </w:rPr>
        <w:t>za</w:t>
      </w:r>
      <w:r w:rsidR="00100E03" w:rsidRPr="0052300E">
        <w:rPr>
          <w:rFonts w:asciiTheme="minorHAnsi" w:hAnsiTheme="minorHAnsi" w:cstheme="minorHAnsi"/>
          <w:sz w:val="22"/>
          <w:szCs w:val="20"/>
          <w:lang w:val="sr-Latn-CS"/>
        </w:rPr>
        <w:t xml:space="preserve"> </w:t>
      </w:r>
      <w:proofErr w:type="spellStart"/>
      <w:r w:rsidR="00100E03" w:rsidRPr="0052300E">
        <w:rPr>
          <w:rFonts w:asciiTheme="minorHAnsi" w:hAnsiTheme="minorHAnsi" w:cstheme="minorHAnsi"/>
          <w:sz w:val="22"/>
          <w:szCs w:val="20"/>
        </w:rPr>
        <w:t>stru</w:t>
      </w:r>
      <w:proofErr w:type="spellEnd"/>
      <w:r w:rsidR="00100E03" w:rsidRPr="0052300E">
        <w:rPr>
          <w:rFonts w:asciiTheme="minorHAnsi" w:hAnsiTheme="minorHAnsi" w:cstheme="minorHAnsi"/>
          <w:sz w:val="22"/>
          <w:szCs w:val="20"/>
          <w:lang w:val="sr-Latn-CS"/>
        </w:rPr>
        <w:t>č</w:t>
      </w:r>
      <w:r w:rsidR="00100E03" w:rsidRPr="0052300E">
        <w:rPr>
          <w:rFonts w:asciiTheme="minorHAnsi" w:hAnsiTheme="minorHAnsi" w:cstheme="minorHAnsi"/>
          <w:sz w:val="22"/>
          <w:szCs w:val="20"/>
        </w:rPr>
        <w:t>ne</w:t>
      </w:r>
      <w:r w:rsidR="00100E03" w:rsidRPr="0052300E">
        <w:rPr>
          <w:rFonts w:asciiTheme="minorHAnsi" w:hAnsiTheme="minorHAnsi" w:cstheme="minorHAnsi"/>
          <w:sz w:val="22"/>
          <w:szCs w:val="20"/>
          <w:lang w:val="sr-Latn-CS"/>
        </w:rPr>
        <w:t xml:space="preserve"> š</w:t>
      </w:r>
      <w:proofErr w:type="spellStart"/>
      <w:r w:rsidR="00100E03" w:rsidRPr="0052300E">
        <w:rPr>
          <w:rFonts w:asciiTheme="minorHAnsi" w:hAnsiTheme="minorHAnsi" w:cstheme="minorHAnsi"/>
          <w:sz w:val="22"/>
          <w:szCs w:val="20"/>
        </w:rPr>
        <w:t>kole</w:t>
      </w:r>
      <w:proofErr w:type="spellEnd"/>
      <w:r w:rsidR="00100E03" w:rsidRPr="0052300E">
        <w:rPr>
          <w:rFonts w:asciiTheme="minorHAnsi" w:hAnsiTheme="minorHAnsi" w:cstheme="minorHAnsi"/>
          <w:sz w:val="22"/>
          <w:szCs w:val="20"/>
          <w:lang w:val="sr-Latn-CS"/>
        </w:rPr>
        <w:t xml:space="preserve"> </w:t>
      </w:r>
      <w:proofErr w:type="spellStart"/>
      <w:r w:rsidR="00100E03" w:rsidRPr="0052300E">
        <w:rPr>
          <w:rFonts w:asciiTheme="minorHAnsi" w:hAnsiTheme="minorHAnsi" w:cstheme="minorHAnsi"/>
          <w:sz w:val="22"/>
          <w:szCs w:val="20"/>
        </w:rPr>
        <w:t>koje</w:t>
      </w:r>
      <w:proofErr w:type="spellEnd"/>
      <w:r w:rsidR="00100E03" w:rsidRPr="0052300E">
        <w:rPr>
          <w:rFonts w:asciiTheme="minorHAnsi" w:hAnsiTheme="minorHAnsi" w:cstheme="minorHAnsi"/>
          <w:sz w:val="22"/>
          <w:szCs w:val="20"/>
          <w:lang w:val="sr-Latn-CS"/>
        </w:rPr>
        <w:t xml:space="preserve"> </w:t>
      </w:r>
      <w:proofErr w:type="spellStart"/>
      <w:r w:rsidR="00100E03" w:rsidRPr="0052300E">
        <w:rPr>
          <w:rFonts w:asciiTheme="minorHAnsi" w:hAnsiTheme="minorHAnsi" w:cstheme="minorHAnsi"/>
          <w:sz w:val="22"/>
          <w:szCs w:val="20"/>
        </w:rPr>
        <w:t>imaju</w:t>
      </w:r>
      <w:proofErr w:type="spellEnd"/>
      <w:r w:rsidR="00100E03" w:rsidRPr="0052300E">
        <w:rPr>
          <w:rFonts w:asciiTheme="minorHAnsi" w:hAnsiTheme="minorHAnsi" w:cstheme="minorHAnsi"/>
          <w:sz w:val="22"/>
          <w:szCs w:val="20"/>
          <w:lang w:val="sr-Latn-CS"/>
        </w:rPr>
        <w:t xml:space="preserve"> </w:t>
      </w:r>
      <w:proofErr w:type="spellStart"/>
      <w:r w:rsidR="00100E03" w:rsidRPr="0052300E">
        <w:rPr>
          <w:rFonts w:asciiTheme="minorHAnsi" w:hAnsiTheme="minorHAnsi" w:cstheme="minorHAnsi"/>
          <w:sz w:val="22"/>
          <w:szCs w:val="20"/>
        </w:rPr>
        <w:t>sopstvene</w:t>
      </w:r>
      <w:proofErr w:type="spellEnd"/>
      <w:r w:rsidR="00100E03" w:rsidRPr="0052300E">
        <w:rPr>
          <w:rFonts w:asciiTheme="minorHAnsi" w:hAnsiTheme="minorHAnsi" w:cstheme="minorHAnsi"/>
          <w:sz w:val="22"/>
          <w:szCs w:val="20"/>
          <w:lang w:val="sr-Latn-CS"/>
        </w:rPr>
        <w:t xml:space="preserve"> </w:t>
      </w:r>
      <w:proofErr w:type="spellStart"/>
      <w:r w:rsidR="00100E03" w:rsidRPr="0052300E">
        <w:rPr>
          <w:rFonts w:asciiTheme="minorHAnsi" w:hAnsiTheme="minorHAnsi" w:cstheme="minorHAnsi"/>
          <w:sz w:val="22"/>
          <w:szCs w:val="20"/>
        </w:rPr>
        <w:t>radionice</w:t>
      </w:r>
      <w:proofErr w:type="spellEnd"/>
      <w:r w:rsidR="00100E03" w:rsidRPr="0052300E">
        <w:rPr>
          <w:rFonts w:asciiTheme="minorHAnsi" w:hAnsiTheme="minorHAnsi" w:cstheme="minorHAnsi"/>
          <w:sz w:val="22"/>
          <w:szCs w:val="20"/>
          <w:lang w:val="sr-Latn-CS"/>
        </w:rPr>
        <w:t xml:space="preserve"> </w:t>
      </w:r>
      <w:r w:rsidR="00100E03" w:rsidRPr="0052300E">
        <w:rPr>
          <w:rFonts w:asciiTheme="minorHAnsi" w:hAnsiTheme="minorHAnsi" w:cstheme="minorHAnsi"/>
          <w:sz w:val="22"/>
          <w:szCs w:val="20"/>
        </w:rPr>
        <w:t>za</w:t>
      </w:r>
      <w:r w:rsidR="00100E03" w:rsidRPr="0052300E">
        <w:rPr>
          <w:rFonts w:asciiTheme="minorHAnsi" w:hAnsiTheme="minorHAnsi" w:cstheme="minorHAnsi"/>
          <w:sz w:val="22"/>
          <w:szCs w:val="20"/>
          <w:lang w:val="sr-Latn-CS"/>
        </w:rPr>
        <w:t xml:space="preserve"> </w:t>
      </w:r>
      <w:proofErr w:type="spellStart"/>
      <w:r w:rsidR="00100E03" w:rsidRPr="0052300E">
        <w:rPr>
          <w:rFonts w:asciiTheme="minorHAnsi" w:hAnsiTheme="minorHAnsi" w:cstheme="minorHAnsi"/>
          <w:sz w:val="22"/>
          <w:szCs w:val="20"/>
        </w:rPr>
        <w:t>prakti</w:t>
      </w:r>
      <w:proofErr w:type="spellEnd"/>
      <w:r w:rsidR="00100E03" w:rsidRPr="0052300E">
        <w:rPr>
          <w:rFonts w:asciiTheme="minorHAnsi" w:hAnsiTheme="minorHAnsi" w:cstheme="minorHAnsi"/>
          <w:sz w:val="22"/>
          <w:szCs w:val="20"/>
          <w:lang w:val="sr-Latn-CS"/>
        </w:rPr>
        <w:t>č</w:t>
      </w:r>
      <w:r w:rsidR="00100E03" w:rsidRPr="0052300E">
        <w:rPr>
          <w:rFonts w:asciiTheme="minorHAnsi" w:hAnsiTheme="minorHAnsi" w:cstheme="minorHAnsi"/>
          <w:sz w:val="22"/>
          <w:szCs w:val="20"/>
        </w:rPr>
        <w:t>nu</w:t>
      </w:r>
      <w:r w:rsidR="00100E03" w:rsidRPr="0052300E">
        <w:rPr>
          <w:rFonts w:asciiTheme="minorHAnsi" w:hAnsiTheme="minorHAnsi" w:cstheme="minorHAnsi"/>
          <w:sz w:val="22"/>
          <w:szCs w:val="20"/>
          <w:lang w:val="sr-Latn-CS"/>
        </w:rPr>
        <w:t xml:space="preserve"> </w:t>
      </w:r>
      <w:proofErr w:type="spellStart"/>
      <w:r w:rsidR="00100E03" w:rsidRPr="0052300E">
        <w:rPr>
          <w:rFonts w:asciiTheme="minorHAnsi" w:hAnsiTheme="minorHAnsi" w:cstheme="minorHAnsi"/>
          <w:sz w:val="22"/>
          <w:szCs w:val="20"/>
        </w:rPr>
        <w:t>nastavu</w:t>
      </w:r>
      <w:proofErr w:type="spellEnd"/>
      <w:r w:rsidR="00100E03" w:rsidRPr="0052300E">
        <w:rPr>
          <w:rFonts w:asciiTheme="minorHAnsi" w:hAnsiTheme="minorHAnsi" w:cstheme="minorHAnsi"/>
          <w:sz w:val="22"/>
          <w:szCs w:val="20"/>
          <w:lang w:val="sr-Latn-CS"/>
        </w:rPr>
        <w:t xml:space="preserve"> </w:t>
      </w:r>
      <w:r w:rsidR="00100E03" w:rsidRPr="0052300E">
        <w:rPr>
          <w:rFonts w:asciiTheme="minorHAnsi" w:hAnsiTheme="minorHAnsi" w:cstheme="minorHAnsi"/>
          <w:sz w:val="22"/>
          <w:szCs w:val="20"/>
        </w:rPr>
        <w:t>u</w:t>
      </w:r>
      <w:r w:rsidR="00100E03" w:rsidRPr="0052300E">
        <w:rPr>
          <w:rFonts w:asciiTheme="minorHAnsi" w:hAnsiTheme="minorHAnsi" w:cstheme="minorHAnsi"/>
          <w:sz w:val="22"/>
          <w:szCs w:val="20"/>
          <w:lang w:val="sr-Latn-CS"/>
        </w:rPr>
        <w:t xml:space="preserve"> </w:t>
      </w:r>
      <w:proofErr w:type="spellStart"/>
      <w:r w:rsidR="00100E03" w:rsidRPr="0052300E">
        <w:rPr>
          <w:rFonts w:asciiTheme="minorHAnsi" w:hAnsiTheme="minorHAnsi" w:cstheme="minorHAnsi"/>
          <w:sz w:val="22"/>
          <w:szCs w:val="20"/>
        </w:rPr>
        <w:t>iznosu</w:t>
      </w:r>
      <w:proofErr w:type="spellEnd"/>
      <w:r w:rsidR="00100E03" w:rsidRPr="0052300E">
        <w:rPr>
          <w:rFonts w:asciiTheme="minorHAnsi" w:hAnsiTheme="minorHAnsi" w:cstheme="minorHAnsi"/>
          <w:sz w:val="22"/>
          <w:szCs w:val="20"/>
          <w:lang w:val="sr-Latn-CS"/>
        </w:rPr>
        <w:t xml:space="preserve"> </w:t>
      </w:r>
      <w:r w:rsidR="00100E03" w:rsidRPr="0052300E">
        <w:rPr>
          <w:rFonts w:asciiTheme="minorHAnsi" w:hAnsiTheme="minorHAnsi" w:cstheme="minorHAnsi"/>
          <w:sz w:val="22"/>
          <w:szCs w:val="20"/>
        </w:rPr>
        <w:t>od</w:t>
      </w:r>
      <w:r w:rsidR="00100E03" w:rsidRPr="0052300E">
        <w:rPr>
          <w:rFonts w:asciiTheme="minorHAnsi" w:hAnsiTheme="minorHAnsi" w:cstheme="minorHAnsi"/>
          <w:sz w:val="22"/>
          <w:szCs w:val="20"/>
          <w:lang w:val="sr-Latn-CS"/>
        </w:rPr>
        <w:t xml:space="preserve"> 7% </w:t>
      </w:r>
      <w:r w:rsidR="00100E03" w:rsidRPr="0052300E">
        <w:rPr>
          <w:rFonts w:asciiTheme="minorHAnsi" w:hAnsiTheme="minorHAnsi" w:cstheme="minorHAnsi"/>
          <w:sz w:val="22"/>
          <w:szCs w:val="20"/>
        </w:rPr>
        <w:t>u</w:t>
      </w:r>
      <w:r w:rsidR="00100E03" w:rsidRPr="0052300E">
        <w:rPr>
          <w:rFonts w:asciiTheme="minorHAnsi" w:hAnsiTheme="minorHAnsi" w:cstheme="minorHAnsi"/>
          <w:sz w:val="22"/>
          <w:szCs w:val="20"/>
          <w:lang w:val="sr-Latn-CS"/>
        </w:rPr>
        <w:t xml:space="preserve"> </w:t>
      </w:r>
      <w:proofErr w:type="spellStart"/>
      <w:r w:rsidR="00100E03" w:rsidRPr="0052300E">
        <w:rPr>
          <w:rFonts w:asciiTheme="minorHAnsi" w:hAnsiTheme="minorHAnsi" w:cstheme="minorHAnsi"/>
          <w:sz w:val="22"/>
          <w:szCs w:val="20"/>
        </w:rPr>
        <w:t>odnosu</w:t>
      </w:r>
      <w:proofErr w:type="spellEnd"/>
      <w:r w:rsidR="00100E03" w:rsidRPr="0052300E">
        <w:rPr>
          <w:rFonts w:asciiTheme="minorHAnsi" w:hAnsiTheme="minorHAnsi" w:cstheme="minorHAnsi"/>
          <w:sz w:val="22"/>
          <w:szCs w:val="20"/>
          <w:lang w:val="sr-Latn-CS"/>
        </w:rPr>
        <w:t xml:space="preserve"> </w:t>
      </w:r>
      <w:proofErr w:type="spellStart"/>
      <w:r w:rsidR="00100E03" w:rsidRPr="0052300E">
        <w:rPr>
          <w:rFonts w:asciiTheme="minorHAnsi" w:hAnsiTheme="minorHAnsi" w:cstheme="minorHAnsi"/>
          <w:sz w:val="22"/>
          <w:szCs w:val="20"/>
        </w:rPr>
        <w:t>na</w:t>
      </w:r>
      <w:proofErr w:type="spellEnd"/>
      <w:r w:rsidR="00100E03" w:rsidRPr="0052300E">
        <w:rPr>
          <w:rFonts w:asciiTheme="minorHAnsi" w:hAnsiTheme="minorHAnsi" w:cstheme="minorHAnsi"/>
          <w:sz w:val="22"/>
          <w:szCs w:val="20"/>
          <w:lang w:val="sr-Latn-CS"/>
        </w:rPr>
        <w:t xml:space="preserve"> </w:t>
      </w:r>
      <w:proofErr w:type="spellStart"/>
      <w:r w:rsidR="00100E03" w:rsidRPr="0052300E">
        <w:rPr>
          <w:rFonts w:asciiTheme="minorHAnsi" w:hAnsiTheme="minorHAnsi" w:cstheme="minorHAnsi"/>
          <w:sz w:val="22"/>
          <w:szCs w:val="20"/>
        </w:rPr>
        <w:t>sredstva</w:t>
      </w:r>
      <w:proofErr w:type="spellEnd"/>
      <w:r w:rsidR="00100E03" w:rsidRPr="0052300E">
        <w:rPr>
          <w:rFonts w:asciiTheme="minorHAnsi" w:hAnsiTheme="minorHAnsi" w:cstheme="minorHAnsi"/>
          <w:sz w:val="22"/>
          <w:szCs w:val="20"/>
          <w:lang w:val="sr-Latn-CS"/>
        </w:rPr>
        <w:t xml:space="preserve"> </w:t>
      </w:r>
      <w:r w:rsidR="00100E03" w:rsidRPr="0052300E">
        <w:rPr>
          <w:rFonts w:asciiTheme="minorHAnsi" w:hAnsiTheme="minorHAnsi" w:cstheme="minorHAnsi"/>
          <w:sz w:val="22"/>
          <w:szCs w:val="20"/>
        </w:rPr>
        <w:t>za</w:t>
      </w:r>
      <w:r w:rsidR="00100E03" w:rsidRPr="0052300E">
        <w:rPr>
          <w:rFonts w:asciiTheme="minorHAnsi" w:hAnsiTheme="minorHAnsi" w:cstheme="minorHAnsi"/>
          <w:sz w:val="22"/>
          <w:szCs w:val="20"/>
          <w:lang w:val="sr-Latn-CS"/>
        </w:rPr>
        <w:t xml:space="preserve"> </w:t>
      </w:r>
      <w:proofErr w:type="spellStart"/>
      <w:r w:rsidR="00100E03" w:rsidRPr="0052300E">
        <w:rPr>
          <w:rFonts w:asciiTheme="minorHAnsi" w:hAnsiTheme="minorHAnsi" w:cstheme="minorHAnsi"/>
          <w:sz w:val="22"/>
          <w:szCs w:val="20"/>
        </w:rPr>
        <w:t>bruto</w:t>
      </w:r>
      <w:proofErr w:type="spellEnd"/>
      <w:r w:rsidR="00100E03" w:rsidRPr="0052300E">
        <w:rPr>
          <w:rFonts w:asciiTheme="minorHAnsi" w:hAnsiTheme="minorHAnsi" w:cstheme="minorHAnsi"/>
          <w:sz w:val="22"/>
          <w:szCs w:val="20"/>
          <w:lang w:val="sr-Latn-CS"/>
        </w:rPr>
        <w:t xml:space="preserve"> </w:t>
      </w:r>
      <w:r w:rsidR="00100E03" w:rsidRPr="0052300E">
        <w:rPr>
          <w:rFonts w:asciiTheme="minorHAnsi" w:hAnsiTheme="minorHAnsi" w:cstheme="minorHAnsi"/>
          <w:sz w:val="22"/>
          <w:szCs w:val="20"/>
        </w:rPr>
        <w:t>plate</w:t>
      </w:r>
      <w:r w:rsidR="00100E03" w:rsidRPr="0052300E">
        <w:rPr>
          <w:rFonts w:asciiTheme="minorHAnsi" w:hAnsiTheme="minorHAnsi" w:cstheme="minorHAnsi"/>
          <w:sz w:val="22"/>
          <w:szCs w:val="20"/>
          <w:lang w:val="sr-Latn-CS"/>
        </w:rPr>
        <w:t xml:space="preserve"> </w:t>
      </w:r>
      <w:proofErr w:type="spellStart"/>
      <w:r w:rsidR="00100E03" w:rsidRPr="0052300E">
        <w:rPr>
          <w:rFonts w:asciiTheme="minorHAnsi" w:hAnsiTheme="minorHAnsi" w:cstheme="minorHAnsi"/>
          <w:sz w:val="22"/>
          <w:szCs w:val="20"/>
        </w:rPr>
        <w:t>zaposlenih</w:t>
      </w:r>
      <w:proofErr w:type="spellEnd"/>
      <w:r w:rsidR="00100E03" w:rsidRPr="0052300E">
        <w:rPr>
          <w:rFonts w:asciiTheme="minorHAnsi" w:hAnsiTheme="minorHAnsi" w:cstheme="minorHAnsi"/>
          <w:sz w:val="22"/>
          <w:szCs w:val="20"/>
          <w:lang w:val="sr-Latn-CS"/>
        </w:rPr>
        <w:t xml:space="preserve"> </w:t>
      </w:r>
      <w:r w:rsidR="00100E03" w:rsidRPr="0052300E">
        <w:rPr>
          <w:rFonts w:asciiTheme="minorHAnsi" w:hAnsiTheme="minorHAnsi" w:cstheme="minorHAnsi"/>
          <w:sz w:val="22"/>
          <w:szCs w:val="20"/>
        </w:rPr>
        <w:t>u</w:t>
      </w:r>
      <w:r w:rsidR="00100E03" w:rsidRPr="0052300E">
        <w:rPr>
          <w:rFonts w:asciiTheme="minorHAnsi" w:hAnsiTheme="minorHAnsi" w:cstheme="minorHAnsi"/>
          <w:sz w:val="22"/>
          <w:szCs w:val="20"/>
          <w:lang w:val="sr-Latn-CS"/>
        </w:rPr>
        <w:t xml:space="preserve"> š</w:t>
      </w:r>
      <w:proofErr w:type="spellStart"/>
      <w:r w:rsidR="00100E03" w:rsidRPr="0052300E">
        <w:rPr>
          <w:rFonts w:asciiTheme="minorHAnsi" w:hAnsiTheme="minorHAnsi" w:cstheme="minorHAnsi"/>
          <w:sz w:val="22"/>
          <w:szCs w:val="20"/>
        </w:rPr>
        <w:t>koli</w:t>
      </w:r>
      <w:proofErr w:type="spellEnd"/>
      <w:r w:rsidR="00100E03" w:rsidRPr="0052300E">
        <w:rPr>
          <w:rFonts w:asciiTheme="minorHAnsi" w:hAnsiTheme="minorHAnsi" w:cstheme="minorHAnsi"/>
          <w:sz w:val="22"/>
          <w:szCs w:val="20"/>
          <w:lang w:val="sr-Latn-CS"/>
        </w:rPr>
        <w:t xml:space="preserve"> (</w:t>
      </w:r>
      <w:r w:rsidR="00100E03" w:rsidRPr="0052300E">
        <w:rPr>
          <w:rFonts w:asciiTheme="minorHAnsi" w:hAnsiTheme="minorHAnsi" w:cstheme="minorHAnsi"/>
          <w:sz w:val="22"/>
          <w:szCs w:val="20"/>
        </w:rPr>
        <w:t>za</w:t>
      </w:r>
      <w:r w:rsidR="00100E03" w:rsidRPr="0052300E">
        <w:rPr>
          <w:rFonts w:asciiTheme="minorHAnsi" w:hAnsiTheme="minorHAnsi" w:cstheme="minorHAnsi"/>
          <w:sz w:val="22"/>
          <w:szCs w:val="20"/>
          <w:lang w:val="sr-Latn-CS"/>
        </w:rPr>
        <w:t xml:space="preserve"> </w:t>
      </w:r>
      <w:proofErr w:type="spellStart"/>
      <w:r w:rsidR="00100E03" w:rsidRPr="0052300E">
        <w:rPr>
          <w:rFonts w:asciiTheme="minorHAnsi" w:hAnsiTheme="minorHAnsi" w:cstheme="minorHAnsi"/>
          <w:sz w:val="22"/>
          <w:szCs w:val="20"/>
        </w:rPr>
        <w:t>neke</w:t>
      </w:r>
      <w:proofErr w:type="spellEnd"/>
      <w:r w:rsidR="00100E03" w:rsidRPr="0052300E">
        <w:rPr>
          <w:rFonts w:asciiTheme="minorHAnsi" w:hAnsiTheme="minorHAnsi" w:cstheme="minorHAnsi"/>
          <w:sz w:val="22"/>
          <w:szCs w:val="20"/>
          <w:lang w:val="sr-Latn-CS"/>
        </w:rPr>
        <w:t xml:space="preserve"> </w:t>
      </w:r>
      <w:proofErr w:type="spellStart"/>
      <w:r w:rsidR="00100E03" w:rsidRPr="0052300E">
        <w:rPr>
          <w:rFonts w:asciiTheme="minorHAnsi" w:hAnsiTheme="minorHAnsi" w:cstheme="minorHAnsi"/>
          <w:sz w:val="22"/>
          <w:szCs w:val="20"/>
        </w:rPr>
        <w:t>struke</w:t>
      </w:r>
      <w:proofErr w:type="spellEnd"/>
      <w:r w:rsidR="00100E03" w:rsidRPr="0052300E">
        <w:rPr>
          <w:rFonts w:asciiTheme="minorHAnsi" w:hAnsiTheme="minorHAnsi" w:cstheme="minorHAnsi"/>
          <w:sz w:val="22"/>
          <w:szCs w:val="20"/>
          <w:lang w:val="sr-Latn-CS"/>
        </w:rPr>
        <w:t xml:space="preserve"> </w:t>
      </w:r>
      <w:proofErr w:type="spellStart"/>
      <w:r w:rsidR="00100E03" w:rsidRPr="0052300E">
        <w:rPr>
          <w:rFonts w:asciiTheme="minorHAnsi" w:hAnsiTheme="minorHAnsi" w:cstheme="minorHAnsi"/>
          <w:sz w:val="22"/>
          <w:szCs w:val="20"/>
        </w:rPr>
        <w:t>i</w:t>
      </w:r>
      <w:proofErr w:type="spellEnd"/>
      <w:r w:rsidR="00100E03" w:rsidRPr="0052300E">
        <w:rPr>
          <w:rFonts w:asciiTheme="minorHAnsi" w:hAnsiTheme="minorHAnsi" w:cstheme="minorHAnsi"/>
          <w:sz w:val="22"/>
          <w:szCs w:val="20"/>
          <w:lang w:val="sr-Latn-CS"/>
        </w:rPr>
        <w:t xml:space="preserve"> </w:t>
      </w:r>
      <w:r w:rsidR="00100E03" w:rsidRPr="0052300E">
        <w:rPr>
          <w:rFonts w:asciiTheme="minorHAnsi" w:hAnsiTheme="minorHAnsi" w:cstheme="minorHAnsi"/>
          <w:sz w:val="22"/>
          <w:szCs w:val="20"/>
        </w:rPr>
        <w:t>vi</w:t>
      </w:r>
      <w:r w:rsidR="00100E03" w:rsidRPr="0052300E">
        <w:rPr>
          <w:rFonts w:asciiTheme="minorHAnsi" w:hAnsiTheme="minorHAnsi" w:cstheme="minorHAnsi"/>
          <w:sz w:val="22"/>
          <w:szCs w:val="20"/>
          <w:lang w:val="sr-Latn-CS"/>
        </w:rPr>
        <w:t>š</w:t>
      </w:r>
      <w:r w:rsidR="00100E03" w:rsidRPr="0052300E">
        <w:rPr>
          <w:rFonts w:asciiTheme="minorHAnsi" w:hAnsiTheme="minorHAnsi" w:cstheme="minorHAnsi"/>
          <w:sz w:val="22"/>
          <w:szCs w:val="20"/>
        </w:rPr>
        <w:t>e,</w:t>
      </w:r>
      <w:r w:rsidR="00100E03" w:rsidRPr="0052300E">
        <w:rPr>
          <w:rFonts w:asciiTheme="minorHAnsi" w:hAnsiTheme="minorHAnsi" w:cstheme="minorHAnsi"/>
          <w:sz w:val="22"/>
          <w:szCs w:val="20"/>
          <w:lang w:val="sr-Latn-CS"/>
        </w:rPr>
        <w:t xml:space="preserve"> š</w:t>
      </w:r>
      <w:r w:rsidR="00100E03" w:rsidRPr="0052300E">
        <w:rPr>
          <w:rFonts w:asciiTheme="minorHAnsi" w:hAnsiTheme="minorHAnsi" w:cstheme="minorHAnsi"/>
          <w:sz w:val="22"/>
          <w:szCs w:val="20"/>
        </w:rPr>
        <w:t>to</w:t>
      </w:r>
      <w:r w:rsidR="00100E03" w:rsidRPr="0052300E">
        <w:rPr>
          <w:rFonts w:asciiTheme="minorHAnsi" w:hAnsiTheme="minorHAnsi" w:cstheme="minorHAnsi"/>
          <w:sz w:val="22"/>
          <w:szCs w:val="20"/>
          <w:lang w:val="sr-Latn-CS"/>
        </w:rPr>
        <w:t xml:space="preserve"> </w:t>
      </w:r>
      <w:r w:rsidR="00100E03" w:rsidRPr="0052300E">
        <w:rPr>
          <w:rFonts w:asciiTheme="minorHAnsi" w:hAnsiTheme="minorHAnsi" w:cstheme="minorHAnsi"/>
          <w:sz w:val="22"/>
          <w:szCs w:val="20"/>
        </w:rPr>
        <w:t>je</w:t>
      </w:r>
      <w:r w:rsidR="00100E03" w:rsidRPr="0052300E">
        <w:rPr>
          <w:rFonts w:asciiTheme="minorHAnsi" w:hAnsiTheme="minorHAnsi" w:cstheme="minorHAnsi"/>
          <w:sz w:val="22"/>
          <w:szCs w:val="20"/>
          <w:lang w:val="sr-Latn-CS"/>
        </w:rPr>
        <w:t xml:space="preserve"> </w:t>
      </w:r>
      <w:proofErr w:type="spellStart"/>
      <w:r w:rsidR="00100E03" w:rsidRPr="0052300E">
        <w:rPr>
          <w:rFonts w:asciiTheme="minorHAnsi" w:hAnsiTheme="minorHAnsi" w:cstheme="minorHAnsi"/>
          <w:sz w:val="22"/>
          <w:szCs w:val="20"/>
        </w:rPr>
        <w:t>detaljno</w:t>
      </w:r>
      <w:proofErr w:type="spellEnd"/>
      <w:r w:rsidR="00100E03" w:rsidRPr="0052300E">
        <w:rPr>
          <w:rFonts w:asciiTheme="minorHAnsi" w:hAnsiTheme="minorHAnsi" w:cstheme="minorHAnsi"/>
          <w:sz w:val="22"/>
          <w:szCs w:val="20"/>
          <w:lang w:val="sr-Latn-CS"/>
        </w:rPr>
        <w:t xml:space="preserve"> </w:t>
      </w:r>
      <w:proofErr w:type="spellStart"/>
      <w:r w:rsidR="00100E03" w:rsidRPr="0052300E">
        <w:rPr>
          <w:rFonts w:asciiTheme="minorHAnsi" w:hAnsiTheme="minorHAnsi" w:cstheme="minorHAnsi"/>
          <w:sz w:val="22"/>
          <w:szCs w:val="20"/>
        </w:rPr>
        <w:t>propisano</w:t>
      </w:r>
      <w:proofErr w:type="spellEnd"/>
      <w:r w:rsidR="00100E03" w:rsidRPr="0052300E">
        <w:rPr>
          <w:rFonts w:asciiTheme="minorHAnsi" w:hAnsiTheme="minorHAnsi" w:cstheme="minorHAnsi"/>
          <w:sz w:val="22"/>
          <w:szCs w:val="20"/>
          <w:lang w:val="sr-Latn-CS"/>
        </w:rPr>
        <w:t xml:space="preserve"> </w:t>
      </w:r>
      <w:proofErr w:type="spellStart"/>
      <w:r w:rsidR="00100E03" w:rsidRPr="0052300E">
        <w:rPr>
          <w:rFonts w:asciiTheme="minorHAnsi" w:hAnsiTheme="minorHAnsi" w:cstheme="minorHAnsi"/>
          <w:sz w:val="22"/>
          <w:szCs w:val="20"/>
        </w:rPr>
        <w:t>Pravilnikom</w:t>
      </w:r>
      <w:proofErr w:type="spellEnd"/>
      <w:r w:rsidR="00100E03" w:rsidRPr="0052300E">
        <w:rPr>
          <w:rFonts w:asciiTheme="minorHAnsi" w:hAnsiTheme="minorHAnsi" w:cstheme="minorHAnsi"/>
          <w:sz w:val="22"/>
          <w:szCs w:val="20"/>
          <w:lang w:val="sr-Latn-CS"/>
        </w:rPr>
        <w:t xml:space="preserve">) </w:t>
      </w:r>
      <w:proofErr w:type="spellStart"/>
      <w:r w:rsidR="00100E03" w:rsidRPr="0052300E">
        <w:rPr>
          <w:rFonts w:asciiTheme="minorHAnsi" w:hAnsiTheme="minorHAnsi" w:cstheme="minorHAnsi"/>
          <w:sz w:val="22"/>
          <w:szCs w:val="20"/>
        </w:rPr>
        <w:t>i</w:t>
      </w:r>
      <w:proofErr w:type="spellEnd"/>
      <w:r w:rsidR="00100E03" w:rsidRPr="0052300E">
        <w:rPr>
          <w:rFonts w:asciiTheme="minorHAnsi" w:hAnsiTheme="minorHAnsi" w:cstheme="minorHAnsi"/>
          <w:sz w:val="22"/>
          <w:szCs w:val="20"/>
          <w:lang w:val="sr-Latn-CS"/>
        </w:rPr>
        <w:t xml:space="preserve"> </w:t>
      </w:r>
      <w:proofErr w:type="spellStart"/>
      <w:r w:rsidR="00100E03" w:rsidRPr="0052300E">
        <w:rPr>
          <w:rFonts w:asciiTheme="minorHAnsi" w:hAnsiTheme="minorHAnsi" w:cstheme="minorHAnsi"/>
          <w:sz w:val="22"/>
          <w:szCs w:val="20"/>
        </w:rPr>
        <w:t>tro</w:t>
      </w:r>
      <w:proofErr w:type="spellEnd"/>
      <w:r w:rsidR="00100E03" w:rsidRPr="0052300E">
        <w:rPr>
          <w:rFonts w:asciiTheme="minorHAnsi" w:hAnsiTheme="minorHAnsi" w:cstheme="minorHAnsi"/>
          <w:sz w:val="22"/>
          <w:szCs w:val="20"/>
          <w:lang w:val="sr-Latn-CS"/>
        </w:rPr>
        <w:t>š</w:t>
      </w:r>
      <w:proofErr w:type="spellStart"/>
      <w:r w:rsidR="00100E03" w:rsidRPr="0052300E">
        <w:rPr>
          <w:rFonts w:asciiTheme="minorHAnsi" w:hAnsiTheme="minorHAnsi" w:cstheme="minorHAnsi"/>
          <w:sz w:val="22"/>
          <w:szCs w:val="20"/>
        </w:rPr>
        <w:t>kove</w:t>
      </w:r>
      <w:proofErr w:type="spellEnd"/>
      <w:r w:rsidR="00100E03" w:rsidRPr="0052300E">
        <w:rPr>
          <w:rFonts w:asciiTheme="minorHAnsi" w:hAnsiTheme="minorHAnsi" w:cstheme="minorHAnsi"/>
          <w:sz w:val="22"/>
          <w:szCs w:val="20"/>
          <w:lang w:val="sr-Latn-CS"/>
        </w:rPr>
        <w:t xml:space="preserve"> </w:t>
      </w:r>
      <w:r w:rsidR="00100E03" w:rsidRPr="0052300E">
        <w:rPr>
          <w:rFonts w:asciiTheme="minorHAnsi" w:hAnsiTheme="minorHAnsi" w:cstheme="minorHAnsi"/>
          <w:sz w:val="22"/>
          <w:szCs w:val="20"/>
        </w:rPr>
        <w:t>re</w:t>
      </w:r>
      <w:r w:rsidR="00100E03" w:rsidRPr="0052300E">
        <w:rPr>
          <w:rFonts w:asciiTheme="minorHAnsi" w:hAnsiTheme="minorHAnsi" w:cstheme="minorHAnsi"/>
          <w:sz w:val="22"/>
          <w:szCs w:val="20"/>
          <w:lang w:val="sr-Latn-CS"/>
        </w:rPr>
        <w:t>ž</w:t>
      </w:r>
      <w:proofErr w:type="spellStart"/>
      <w:r w:rsidR="00100E03" w:rsidRPr="0052300E">
        <w:rPr>
          <w:rFonts w:asciiTheme="minorHAnsi" w:hAnsiTheme="minorHAnsi" w:cstheme="minorHAnsi"/>
          <w:sz w:val="22"/>
          <w:szCs w:val="20"/>
        </w:rPr>
        <w:t>ije</w:t>
      </w:r>
      <w:proofErr w:type="spellEnd"/>
      <w:r w:rsidR="00100E03" w:rsidRPr="0052300E">
        <w:rPr>
          <w:rFonts w:asciiTheme="minorHAnsi" w:hAnsiTheme="minorHAnsi" w:cstheme="minorHAnsi"/>
          <w:sz w:val="22"/>
          <w:szCs w:val="20"/>
          <w:lang w:val="sr-Latn-CS"/>
        </w:rPr>
        <w:t>.</w:t>
      </w:r>
    </w:p>
    <w:p w14:paraId="0745E5E1" w14:textId="77777777" w:rsidR="00100E03" w:rsidRDefault="00100E03" w:rsidP="00C3562C">
      <w:pPr>
        <w:spacing w:line="276" w:lineRule="auto"/>
        <w:jc w:val="both"/>
        <w:outlineLvl w:val="0"/>
        <w:rPr>
          <w:color w:val="333333"/>
          <w:sz w:val="22"/>
          <w:szCs w:val="22"/>
        </w:rPr>
      </w:pPr>
    </w:p>
    <w:p w14:paraId="0A168CAF" w14:textId="77777777" w:rsidR="00F05400" w:rsidRPr="004E6021" w:rsidRDefault="00F05400" w:rsidP="00F05400">
      <w:pPr>
        <w:jc w:val="both"/>
        <w:rPr>
          <w:rFonts w:ascii="Calibri" w:hAnsi="Calibri"/>
          <w:color w:val="333333"/>
          <w:sz w:val="22"/>
          <w:szCs w:val="21"/>
        </w:rPr>
      </w:pPr>
    </w:p>
    <w:p w14:paraId="74F78F0C" w14:textId="774AEB5B" w:rsidR="00F05400" w:rsidRPr="00B27536" w:rsidRDefault="0052300E" w:rsidP="00F05400">
      <w:pPr>
        <w:jc w:val="both"/>
        <w:rPr>
          <w:rFonts w:asciiTheme="minorHAnsi" w:hAnsiTheme="minorHAnsi" w:cstheme="minorHAnsi"/>
          <w:color w:val="333333"/>
          <w:sz w:val="22"/>
          <w:szCs w:val="22"/>
        </w:rPr>
      </w:pPr>
      <w:r w:rsidRPr="00B27536">
        <w:rPr>
          <w:rFonts w:asciiTheme="minorHAnsi" w:hAnsiTheme="minorHAnsi" w:cstheme="minorHAnsi"/>
          <w:b/>
          <w:i/>
          <w:color w:val="333333"/>
          <w:sz w:val="22"/>
          <w:szCs w:val="21"/>
        </w:rPr>
        <w:lastRenderedPageBreak/>
        <w:t xml:space="preserve">JLS </w:t>
      </w:r>
      <w:proofErr w:type="spellStart"/>
      <w:r w:rsidRPr="00B27536">
        <w:rPr>
          <w:rFonts w:asciiTheme="minorHAnsi" w:hAnsiTheme="minorHAnsi" w:cstheme="minorHAnsi"/>
          <w:b/>
          <w:i/>
          <w:color w:val="333333"/>
          <w:sz w:val="22"/>
          <w:szCs w:val="21"/>
        </w:rPr>
        <w:t>takođe</w:t>
      </w:r>
      <w:proofErr w:type="spellEnd"/>
      <w:r w:rsidRPr="00B27536">
        <w:rPr>
          <w:rFonts w:asciiTheme="minorHAnsi" w:hAnsiTheme="minorHAnsi" w:cstheme="minorHAnsi"/>
          <w:b/>
          <w:i/>
          <w:color w:val="333333"/>
          <w:sz w:val="22"/>
          <w:szCs w:val="21"/>
        </w:rPr>
        <w:t xml:space="preserve"> </w:t>
      </w:r>
      <w:proofErr w:type="spellStart"/>
      <w:r w:rsidRPr="00B27536">
        <w:rPr>
          <w:rFonts w:asciiTheme="minorHAnsi" w:hAnsiTheme="minorHAnsi" w:cstheme="minorHAnsi"/>
          <w:b/>
          <w:i/>
          <w:color w:val="333333"/>
          <w:sz w:val="22"/>
          <w:szCs w:val="21"/>
        </w:rPr>
        <w:t>obezbeđuju</w:t>
      </w:r>
      <w:proofErr w:type="spellEnd"/>
      <w:r w:rsidRPr="00B27536">
        <w:rPr>
          <w:rFonts w:asciiTheme="minorHAnsi" w:hAnsiTheme="minorHAnsi" w:cstheme="minorHAnsi"/>
          <w:b/>
          <w:i/>
          <w:color w:val="333333"/>
          <w:sz w:val="22"/>
          <w:szCs w:val="21"/>
        </w:rPr>
        <w:t xml:space="preserve"> </w:t>
      </w:r>
      <w:proofErr w:type="spellStart"/>
      <w:r w:rsidRPr="00B27536">
        <w:rPr>
          <w:rFonts w:asciiTheme="minorHAnsi" w:hAnsiTheme="minorHAnsi" w:cstheme="minorHAnsi"/>
          <w:b/>
          <w:i/>
          <w:color w:val="333333"/>
          <w:sz w:val="22"/>
          <w:szCs w:val="21"/>
        </w:rPr>
        <w:t>f</w:t>
      </w:r>
      <w:r w:rsidR="00F05400" w:rsidRPr="00B27536">
        <w:rPr>
          <w:rFonts w:asciiTheme="minorHAnsi" w:hAnsiTheme="minorHAnsi" w:cstheme="minorHAnsi"/>
          <w:b/>
          <w:i/>
          <w:color w:val="333333"/>
          <w:sz w:val="22"/>
          <w:szCs w:val="21"/>
        </w:rPr>
        <w:t>unkcionisanje</w:t>
      </w:r>
      <w:proofErr w:type="spellEnd"/>
      <w:r w:rsidR="00F05400" w:rsidRPr="00B27536">
        <w:rPr>
          <w:rFonts w:asciiTheme="minorHAnsi" w:hAnsiTheme="minorHAnsi" w:cstheme="minorHAnsi"/>
          <w:b/>
          <w:i/>
          <w:color w:val="333333"/>
          <w:sz w:val="22"/>
          <w:szCs w:val="21"/>
        </w:rPr>
        <w:t xml:space="preserve"> </w:t>
      </w:r>
      <w:r w:rsidR="00F05400" w:rsidRPr="00B27536">
        <w:rPr>
          <w:rFonts w:asciiTheme="minorHAnsi" w:hAnsiTheme="minorHAnsi" w:cstheme="minorHAnsi"/>
          <w:b/>
          <w:i/>
          <w:sz w:val="22"/>
          <w:lang w:val="ru-RU"/>
        </w:rPr>
        <w:t>Interresornih komisija</w:t>
      </w:r>
      <w:r w:rsidR="00F05400" w:rsidRPr="00B27536">
        <w:rPr>
          <w:rFonts w:asciiTheme="minorHAnsi" w:hAnsiTheme="minorHAnsi" w:cstheme="minorHAnsi"/>
          <w:b/>
          <w:i/>
          <w:color w:val="333333"/>
          <w:sz w:val="22"/>
          <w:szCs w:val="21"/>
        </w:rPr>
        <w:t xml:space="preserve"> (IRK)</w:t>
      </w:r>
      <w:r w:rsidR="00F05400" w:rsidRPr="00B27536">
        <w:rPr>
          <w:rStyle w:val="FootnoteReference"/>
          <w:rFonts w:asciiTheme="minorHAnsi" w:hAnsiTheme="minorHAnsi" w:cstheme="minorHAnsi"/>
          <w:b/>
          <w:i/>
          <w:color w:val="333333"/>
          <w:sz w:val="22"/>
          <w:szCs w:val="21"/>
        </w:rPr>
        <w:footnoteReference w:id="7"/>
      </w:r>
      <w:r w:rsidR="00F05400" w:rsidRPr="00B27536">
        <w:rPr>
          <w:rFonts w:asciiTheme="minorHAnsi" w:hAnsiTheme="minorHAnsi" w:cstheme="minorHAnsi"/>
          <w:b/>
          <w:i/>
          <w:color w:val="333333"/>
          <w:sz w:val="22"/>
          <w:szCs w:val="21"/>
        </w:rPr>
        <w:t xml:space="preserve"> </w:t>
      </w:r>
      <w:proofErr w:type="spellStart"/>
      <w:r w:rsidR="00F05400" w:rsidRPr="00B27536">
        <w:rPr>
          <w:rFonts w:asciiTheme="minorHAnsi" w:hAnsiTheme="minorHAnsi" w:cstheme="minorHAnsi"/>
          <w:b/>
          <w:i/>
          <w:color w:val="333333"/>
          <w:sz w:val="22"/>
          <w:szCs w:val="21"/>
        </w:rPr>
        <w:t>i</w:t>
      </w:r>
      <w:proofErr w:type="spellEnd"/>
      <w:r w:rsidR="00F05400" w:rsidRPr="00B27536">
        <w:rPr>
          <w:rFonts w:asciiTheme="minorHAnsi" w:hAnsiTheme="minorHAnsi" w:cstheme="minorHAnsi"/>
          <w:b/>
          <w:i/>
          <w:color w:val="333333"/>
          <w:sz w:val="22"/>
          <w:szCs w:val="21"/>
        </w:rPr>
        <w:t xml:space="preserve"> </w:t>
      </w:r>
      <w:r w:rsidR="00F05400" w:rsidRPr="00B27536">
        <w:rPr>
          <w:rFonts w:asciiTheme="minorHAnsi" w:hAnsiTheme="minorHAnsi" w:cstheme="minorHAnsi"/>
          <w:b/>
          <w:i/>
          <w:sz w:val="22"/>
          <w:lang w:val="ru-RU"/>
        </w:rPr>
        <w:t xml:space="preserve">ostvarivanje dodatne podrške detetu i učeniku </w:t>
      </w:r>
      <w:r w:rsidR="00F05400" w:rsidRPr="00B27536">
        <w:rPr>
          <w:rFonts w:asciiTheme="minorHAnsi" w:hAnsiTheme="minorHAnsi" w:cstheme="minorHAnsi"/>
          <w:sz w:val="22"/>
          <w:lang w:val="ru-RU"/>
        </w:rPr>
        <w:t>u skladu sa mišljenjem IRK, osim onih za koje se sredstva obezbeđuju u budžetu Republike Srbije</w:t>
      </w:r>
      <w:r w:rsidR="00F05400" w:rsidRPr="00B27536">
        <w:rPr>
          <w:rStyle w:val="FootnoteReference"/>
          <w:rFonts w:asciiTheme="minorHAnsi" w:hAnsiTheme="minorHAnsi" w:cstheme="minorHAnsi"/>
          <w:sz w:val="22"/>
          <w:lang w:val="ru-RU"/>
        </w:rPr>
        <w:footnoteReference w:id="8"/>
      </w:r>
      <w:r w:rsidR="00F05400" w:rsidRPr="00B27536">
        <w:rPr>
          <w:rFonts w:asciiTheme="minorHAnsi" w:hAnsiTheme="minorHAnsi" w:cstheme="minorHAnsi"/>
          <w:color w:val="333333"/>
          <w:sz w:val="22"/>
          <w:szCs w:val="22"/>
        </w:rPr>
        <w:t>.</w:t>
      </w:r>
    </w:p>
    <w:p w14:paraId="5837AD34" w14:textId="77777777" w:rsidR="00F05400" w:rsidRPr="00B27536" w:rsidRDefault="00F05400" w:rsidP="00F05400">
      <w:pPr>
        <w:spacing w:line="276" w:lineRule="auto"/>
        <w:jc w:val="both"/>
        <w:rPr>
          <w:rFonts w:asciiTheme="minorHAnsi" w:hAnsiTheme="minorHAnsi" w:cstheme="minorHAnsi"/>
          <w:sz w:val="22"/>
        </w:rPr>
      </w:pPr>
    </w:p>
    <w:p w14:paraId="7C9AE613" w14:textId="2CA5C035" w:rsidR="00F05400" w:rsidRPr="00B27536" w:rsidRDefault="008A42F1" w:rsidP="00B27536">
      <w:pPr>
        <w:spacing w:line="276" w:lineRule="auto"/>
        <w:jc w:val="both"/>
        <w:outlineLvl w:val="0"/>
        <w:rPr>
          <w:rFonts w:asciiTheme="minorHAnsi" w:hAnsiTheme="minorHAnsi" w:cstheme="minorHAnsi"/>
          <w:sz w:val="22"/>
        </w:rPr>
      </w:pPr>
      <w:r w:rsidRPr="00B27536">
        <w:rPr>
          <w:rFonts w:asciiTheme="minorHAnsi" w:hAnsiTheme="minorHAnsi" w:cstheme="minorHAnsi"/>
          <w:b/>
          <w:i/>
          <w:sz w:val="22"/>
        </w:rPr>
        <w:t xml:space="preserve">JLS </w:t>
      </w:r>
      <w:proofErr w:type="spellStart"/>
      <w:r w:rsidR="00B27536" w:rsidRPr="00B27536">
        <w:rPr>
          <w:rFonts w:asciiTheme="minorHAnsi" w:hAnsiTheme="minorHAnsi" w:cstheme="minorHAnsi"/>
          <w:b/>
          <w:i/>
          <w:sz w:val="22"/>
        </w:rPr>
        <w:t>mogu</w:t>
      </w:r>
      <w:proofErr w:type="spellEnd"/>
      <w:r w:rsidR="00B27536" w:rsidRPr="00B27536">
        <w:rPr>
          <w:rFonts w:asciiTheme="minorHAnsi" w:hAnsiTheme="minorHAnsi" w:cstheme="minorHAnsi"/>
          <w:b/>
          <w:i/>
          <w:sz w:val="22"/>
        </w:rPr>
        <w:t xml:space="preserve"> </w:t>
      </w:r>
      <w:proofErr w:type="spellStart"/>
      <w:r w:rsidR="00B27536" w:rsidRPr="00B27536">
        <w:rPr>
          <w:rFonts w:asciiTheme="minorHAnsi" w:hAnsiTheme="minorHAnsi" w:cstheme="minorHAnsi"/>
          <w:b/>
          <w:i/>
          <w:sz w:val="22"/>
        </w:rPr>
        <w:t>i</w:t>
      </w:r>
      <w:proofErr w:type="spellEnd"/>
      <w:r w:rsidR="00B27536" w:rsidRPr="00B27536">
        <w:rPr>
          <w:rFonts w:asciiTheme="minorHAnsi" w:hAnsiTheme="minorHAnsi" w:cstheme="minorHAnsi"/>
          <w:b/>
          <w:i/>
          <w:sz w:val="22"/>
        </w:rPr>
        <w:t xml:space="preserve"> da</w:t>
      </w:r>
      <w:r w:rsidR="00F05400" w:rsidRPr="00B27536">
        <w:rPr>
          <w:rFonts w:asciiTheme="minorHAnsi" w:hAnsiTheme="minorHAnsi" w:cstheme="minorHAnsi"/>
          <w:b/>
          <w:i/>
          <w:sz w:val="22"/>
        </w:rPr>
        <w:t xml:space="preserve"> </w:t>
      </w:r>
      <w:proofErr w:type="spellStart"/>
      <w:r w:rsidR="00F05400" w:rsidRPr="00B27536">
        <w:rPr>
          <w:rFonts w:asciiTheme="minorHAnsi" w:hAnsiTheme="minorHAnsi" w:cstheme="minorHAnsi"/>
          <w:b/>
          <w:i/>
          <w:sz w:val="22"/>
        </w:rPr>
        <w:t>učestvuju</w:t>
      </w:r>
      <w:proofErr w:type="spellEnd"/>
      <w:r w:rsidR="00F05400" w:rsidRPr="00B27536">
        <w:rPr>
          <w:rFonts w:asciiTheme="minorHAnsi" w:hAnsiTheme="minorHAnsi" w:cstheme="minorHAnsi"/>
          <w:b/>
          <w:i/>
          <w:sz w:val="22"/>
        </w:rPr>
        <w:t xml:space="preserve"> u </w:t>
      </w:r>
      <w:proofErr w:type="spellStart"/>
      <w:r w:rsidR="00F05400" w:rsidRPr="00B27536">
        <w:rPr>
          <w:rFonts w:asciiTheme="minorHAnsi" w:hAnsiTheme="minorHAnsi" w:cstheme="minorHAnsi"/>
          <w:b/>
          <w:i/>
          <w:sz w:val="22"/>
        </w:rPr>
        <w:t>obezbeđenju</w:t>
      </w:r>
      <w:proofErr w:type="spellEnd"/>
      <w:r w:rsidR="00F05400" w:rsidRPr="00B27536">
        <w:rPr>
          <w:rFonts w:asciiTheme="minorHAnsi" w:hAnsiTheme="minorHAnsi" w:cstheme="minorHAnsi"/>
          <w:b/>
          <w:i/>
          <w:sz w:val="22"/>
        </w:rPr>
        <w:t xml:space="preserve"> </w:t>
      </w:r>
      <w:proofErr w:type="spellStart"/>
      <w:r w:rsidR="00F05400" w:rsidRPr="00B27536">
        <w:rPr>
          <w:rFonts w:asciiTheme="minorHAnsi" w:hAnsiTheme="minorHAnsi" w:cstheme="minorHAnsi"/>
          <w:b/>
          <w:i/>
          <w:sz w:val="22"/>
        </w:rPr>
        <w:t>sredstava</w:t>
      </w:r>
      <w:proofErr w:type="spellEnd"/>
      <w:r w:rsidR="00F05400" w:rsidRPr="00B27536">
        <w:rPr>
          <w:rFonts w:asciiTheme="minorHAnsi" w:hAnsiTheme="minorHAnsi" w:cstheme="minorHAnsi"/>
          <w:b/>
          <w:i/>
          <w:sz w:val="22"/>
        </w:rPr>
        <w:t xml:space="preserve"> za </w:t>
      </w:r>
      <w:proofErr w:type="spellStart"/>
      <w:r w:rsidR="00F05400" w:rsidRPr="00B27536">
        <w:rPr>
          <w:rFonts w:asciiTheme="minorHAnsi" w:hAnsiTheme="minorHAnsi" w:cstheme="minorHAnsi"/>
          <w:b/>
          <w:i/>
          <w:sz w:val="22"/>
        </w:rPr>
        <w:t>viši</w:t>
      </w:r>
      <w:proofErr w:type="spellEnd"/>
      <w:r w:rsidR="00F05400" w:rsidRPr="00B27536">
        <w:rPr>
          <w:rFonts w:asciiTheme="minorHAnsi" w:hAnsiTheme="minorHAnsi" w:cstheme="minorHAnsi"/>
          <w:b/>
          <w:i/>
          <w:sz w:val="22"/>
        </w:rPr>
        <w:t xml:space="preserve"> </w:t>
      </w:r>
      <w:proofErr w:type="spellStart"/>
      <w:r w:rsidR="00F05400" w:rsidRPr="00B27536">
        <w:rPr>
          <w:rFonts w:asciiTheme="minorHAnsi" w:hAnsiTheme="minorHAnsi" w:cstheme="minorHAnsi"/>
          <w:b/>
          <w:i/>
          <w:sz w:val="22"/>
        </w:rPr>
        <w:t>kvalitet</w:t>
      </w:r>
      <w:proofErr w:type="spellEnd"/>
      <w:r w:rsidR="00F05400" w:rsidRPr="00B27536">
        <w:rPr>
          <w:rFonts w:asciiTheme="minorHAnsi" w:hAnsiTheme="minorHAnsi" w:cstheme="minorHAnsi"/>
          <w:b/>
          <w:i/>
          <w:sz w:val="22"/>
        </w:rPr>
        <w:t xml:space="preserve"> </w:t>
      </w:r>
      <w:proofErr w:type="spellStart"/>
      <w:r w:rsidR="00F05400" w:rsidRPr="00B27536">
        <w:rPr>
          <w:rFonts w:asciiTheme="minorHAnsi" w:hAnsiTheme="minorHAnsi" w:cstheme="minorHAnsi"/>
          <w:b/>
          <w:i/>
          <w:sz w:val="22"/>
        </w:rPr>
        <w:t>obrazovanja</w:t>
      </w:r>
      <w:proofErr w:type="spellEnd"/>
      <w:r w:rsidR="00F05400" w:rsidRPr="00B27536">
        <w:rPr>
          <w:rFonts w:asciiTheme="minorHAnsi" w:hAnsiTheme="minorHAnsi" w:cstheme="minorHAnsi"/>
          <w:b/>
          <w:i/>
          <w:sz w:val="22"/>
        </w:rPr>
        <w:t xml:space="preserve"> </w:t>
      </w:r>
      <w:proofErr w:type="spellStart"/>
      <w:r w:rsidR="00F05400" w:rsidRPr="00B27536">
        <w:rPr>
          <w:rFonts w:asciiTheme="minorHAnsi" w:hAnsiTheme="minorHAnsi" w:cstheme="minorHAnsi"/>
          <w:b/>
          <w:i/>
          <w:sz w:val="22"/>
        </w:rPr>
        <w:t>kroz</w:t>
      </w:r>
      <w:proofErr w:type="spellEnd"/>
      <w:r w:rsidR="00F05400" w:rsidRPr="00B27536">
        <w:rPr>
          <w:rFonts w:asciiTheme="minorHAnsi" w:hAnsiTheme="minorHAnsi" w:cstheme="minorHAnsi"/>
          <w:b/>
          <w:i/>
          <w:sz w:val="22"/>
        </w:rPr>
        <w:t xml:space="preserve"> </w:t>
      </w:r>
      <w:proofErr w:type="spellStart"/>
      <w:r w:rsidR="00F05400" w:rsidRPr="00B27536">
        <w:rPr>
          <w:rFonts w:asciiTheme="minorHAnsi" w:hAnsiTheme="minorHAnsi" w:cstheme="minorHAnsi"/>
          <w:b/>
          <w:i/>
          <w:sz w:val="22"/>
        </w:rPr>
        <w:t>finansiranje</w:t>
      </w:r>
      <w:proofErr w:type="spellEnd"/>
      <w:r w:rsidR="00F05400" w:rsidRPr="00B27536">
        <w:rPr>
          <w:rFonts w:asciiTheme="minorHAnsi" w:hAnsiTheme="minorHAnsi" w:cstheme="minorHAnsi"/>
          <w:b/>
          <w:i/>
          <w:sz w:val="22"/>
        </w:rPr>
        <w:t xml:space="preserve"> </w:t>
      </w:r>
      <w:proofErr w:type="spellStart"/>
      <w:r w:rsidR="00F05400" w:rsidRPr="00B27536">
        <w:rPr>
          <w:rFonts w:asciiTheme="minorHAnsi" w:hAnsiTheme="minorHAnsi" w:cstheme="minorHAnsi"/>
          <w:b/>
          <w:i/>
          <w:sz w:val="22"/>
        </w:rPr>
        <w:t>ustanova</w:t>
      </w:r>
      <w:proofErr w:type="spellEnd"/>
      <w:r w:rsidR="00F05400" w:rsidRPr="00B27536">
        <w:rPr>
          <w:rFonts w:asciiTheme="minorHAnsi" w:hAnsiTheme="minorHAnsi" w:cstheme="minorHAnsi"/>
          <w:sz w:val="22"/>
        </w:rPr>
        <w:t xml:space="preserve"> u </w:t>
      </w:r>
      <w:proofErr w:type="spellStart"/>
      <w:r w:rsidR="00F05400" w:rsidRPr="00B27536">
        <w:rPr>
          <w:rFonts w:asciiTheme="minorHAnsi" w:hAnsiTheme="minorHAnsi" w:cstheme="minorHAnsi"/>
          <w:sz w:val="22"/>
        </w:rPr>
        <w:t>cilju</w:t>
      </w:r>
      <w:proofErr w:type="spellEnd"/>
      <w:r w:rsidR="00F05400" w:rsidRPr="00B27536">
        <w:rPr>
          <w:rFonts w:asciiTheme="minorHAnsi" w:hAnsiTheme="minorHAnsi" w:cstheme="minorHAnsi"/>
          <w:sz w:val="22"/>
        </w:rPr>
        <w:t xml:space="preserve"> </w:t>
      </w:r>
      <w:proofErr w:type="spellStart"/>
      <w:r w:rsidR="00F05400" w:rsidRPr="00B27536">
        <w:rPr>
          <w:rFonts w:asciiTheme="minorHAnsi" w:hAnsiTheme="minorHAnsi" w:cstheme="minorHAnsi"/>
          <w:sz w:val="22"/>
        </w:rPr>
        <w:t>povećanja</w:t>
      </w:r>
      <w:proofErr w:type="spellEnd"/>
      <w:r w:rsidR="00F05400" w:rsidRPr="00B27536">
        <w:rPr>
          <w:rFonts w:asciiTheme="minorHAnsi" w:hAnsiTheme="minorHAnsi" w:cstheme="minorHAnsi"/>
          <w:sz w:val="22"/>
        </w:rPr>
        <w:t xml:space="preserve"> </w:t>
      </w:r>
      <w:proofErr w:type="spellStart"/>
      <w:r w:rsidR="00F05400" w:rsidRPr="00B27536">
        <w:rPr>
          <w:rFonts w:asciiTheme="minorHAnsi" w:hAnsiTheme="minorHAnsi" w:cstheme="minorHAnsi"/>
          <w:sz w:val="22"/>
        </w:rPr>
        <w:t>kvaliteta</w:t>
      </w:r>
      <w:proofErr w:type="spellEnd"/>
      <w:r w:rsidR="00F05400" w:rsidRPr="00B27536">
        <w:rPr>
          <w:rFonts w:asciiTheme="minorHAnsi" w:hAnsiTheme="minorHAnsi" w:cstheme="minorHAnsi"/>
          <w:sz w:val="22"/>
        </w:rPr>
        <w:t xml:space="preserve"> u </w:t>
      </w:r>
      <w:proofErr w:type="spellStart"/>
      <w:r w:rsidR="00F05400" w:rsidRPr="00B27536">
        <w:rPr>
          <w:rFonts w:asciiTheme="minorHAnsi" w:hAnsiTheme="minorHAnsi" w:cstheme="minorHAnsi"/>
          <w:sz w:val="22"/>
        </w:rPr>
        <w:t>oblasti</w:t>
      </w:r>
      <w:proofErr w:type="spellEnd"/>
      <w:r w:rsidR="00F05400" w:rsidRPr="00B27536">
        <w:rPr>
          <w:rFonts w:asciiTheme="minorHAnsi" w:hAnsiTheme="minorHAnsi" w:cstheme="minorHAnsi"/>
          <w:sz w:val="22"/>
        </w:rPr>
        <w:t xml:space="preserve"> </w:t>
      </w:r>
      <w:proofErr w:type="spellStart"/>
      <w:r w:rsidR="00F05400" w:rsidRPr="00B27536">
        <w:rPr>
          <w:rFonts w:asciiTheme="minorHAnsi" w:hAnsiTheme="minorHAnsi" w:cstheme="minorHAnsi"/>
          <w:sz w:val="22"/>
        </w:rPr>
        <w:t>predškolskog</w:t>
      </w:r>
      <w:proofErr w:type="spellEnd"/>
      <w:r w:rsidR="00F05400" w:rsidRPr="00B27536">
        <w:rPr>
          <w:rFonts w:asciiTheme="minorHAnsi" w:hAnsiTheme="minorHAnsi" w:cstheme="minorHAnsi"/>
          <w:sz w:val="22"/>
        </w:rPr>
        <w:t xml:space="preserve">, </w:t>
      </w:r>
      <w:proofErr w:type="spellStart"/>
      <w:r w:rsidR="00F05400" w:rsidRPr="00B27536">
        <w:rPr>
          <w:rFonts w:asciiTheme="minorHAnsi" w:hAnsiTheme="minorHAnsi" w:cstheme="minorHAnsi"/>
          <w:sz w:val="22"/>
        </w:rPr>
        <w:t>osnovnog</w:t>
      </w:r>
      <w:proofErr w:type="spellEnd"/>
      <w:r w:rsidR="00F05400" w:rsidRPr="00B27536">
        <w:rPr>
          <w:rFonts w:asciiTheme="minorHAnsi" w:hAnsiTheme="minorHAnsi" w:cstheme="minorHAnsi"/>
          <w:sz w:val="22"/>
        </w:rPr>
        <w:t xml:space="preserve"> </w:t>
      </w:r>
      <w:proofErr w:type="spellStart"/>
      <w:r w:rsidR="00F05400" w:rsidRPr="00B27536">
        <w:rPr>
          <w:rFonts w:asciiTheme="minorHAnsi" w:hAnsiTheme="minorHAnsi" w:cstheme="minorHAnsi"/>
          <w:sz w:val="22"/>
        </w:rPr>
        <w:t>i</w:t>
      </w:r>
      <w:proofErr w:type="spellEnd"/>
      <w:r w:rsidR="00F05400" w:rsidRPr="00B27536">
        <w:rPr>
          <w:rFonts w:asciiTheme="minorHAnsi" w:hAnsiTheme="minorHAnsi" w:cstheme="minorHAnsi"/>
          <w:sz w:val="22"/>
        </w:rPr>
        <w:t xml:space="preserve"> </w:t>
      </w:r>
      <w:proofErr w:type="spellStart"/>
      <w:r w:rsidR="00F05400" w:rsidRPr="00B27536">
        <w:rPr>
          <w:rFonts w:asciiTheme="minorHAnsi" w:hAnsiTheme="minorHAnsi" w:cstheme="minorHAnsi"/>
          <w:sz w:val="22"/>
        </w:rPr>
        <w:t>srednjeg</w:t>
      </w:r>
      <w:proofErr w:type="spellEnd"/>
      <w:r w:rsidR="00F05400" w:rsidRPr="00B27536">
        <w:rPr>
          <w:rFonts w:asciiTheme="minorHAnsi" w:hAnsiTheme="minorHAnsi" w:cstheme="minorHAnsi"/>
          <w:sz w:val="22"/>
        </w:rPr>
        <w:t xml:space="preserve"> </w:t>
      </w:r>
      <w:proofErr w:type="spellStart"/>
      <w:r w:rsidR="00F05400" w:rsidRPr="00B27536">
        <w:rPr>
          <w:rFonts w:asciiTheme="minorHAnsi" w:hAnsiTheme="minorHAnsi" w:cstheme="minorHAnsi"/>
          <w:sz w:val="22"/>
        </w:rPr>
        <w:t>obrazovanja</w:t>
      </w:r>
      <w:proofErr w:type="spellEnd"/>
      <w:r w:rsidR="00F05400" w:rsidRPr="00B27536">
        <w:rPr>
          <w:rFonts w:asciiTheme="minorHAnsi" w:hAnsiTheme="minorHAnsi" w:cstheme="minorHAnsi"/>
          <w:sz w:val="22"/>
        </w:rPr>
        <w:t xml:space="preserve"> </w:t>
      </w:r>
      <w:proofErr w:type="spellStart"/>
      <w:r w:rsidR="00F05400" w:rsidRPr="00B27536">
        <w:rPr>
          <w:rFonts w:asciiTheme="minorHAnsi" w:hAnsiTheme="minorHAnsi" w:cstheme="minorHAnsi"/>
          <w:sz w:val="22"/>
        </w:rPr>
        <w:t>i</w:t>
      </w:r>
      <w:proofErr w:type="spellEnd"/>
      <w:r w:rsidR="00F05400" w:rsidRPr="00B27536">
        <w:rPr>
          <w:rFonts w:asciiTheme="minorHAnsi" w:hAnsiTheme="minorHAnsi" w:cstheme="minorHAnsi"/>
          <w:sz w:val="22"/>
        </w:rPr>
        <w:t xml:space="preserve"> </w:t>
      </w:r>
      <w:proofErr w:type="spellStart"/>
      <w:r w:rsidR="00F05400" w:rsidRPr="00B27536">
        <w:rPr>
          <w:rFonts w:asciiTheme="minorHAnsi" w:hAnsiTheme="minorHAnsi" w:cstheme="minorHAnsi"/>
          <w:sz w:val="22"/>
        </w:rPr>
        <w:t>vaspitanja</w:t>
      </w:r>
      <w:proofErr w:type="spellEnd"/>
      <w:r w:rsidR="00F05400" w:rsidRPr="00B27536">
        <w:rPr>
          <w:rFonts w:asciiTheme="minorHAnsi" w:hAnsiTheme="minorHAnsi" w:cstheme="minorHAnsi"/>
          <w:sz w:val="22"/>
        </w:rPr>
        <w:t xml:space="preserve">, </w:t>
      </w:r>
      <w:proofErr w:type="spellStart"/>
      <w:r w:rsidR="00F05400" w:rsidRPr="00B27536">
        <w:rPr>
          <w:rFonts w:asciiTheme="minorHAnsi" w:hAnsiTheme="minorHAnsi" w:cstheme="minorHAnsi"/>
          <w:sz w:val="22"/>
        </w:rPr>
        <w:t>što</w:t>
      </w:r>
      <w:proofErr w:type="spellEnd"/>
      <w:r w:rsidR="00F05400" w:rsidRPr="00B27536">
        <w:rPr>
          <w:rFonts w:asciiTheme="minorHAnsi" w:hAnsiTheme="minorHAnsi" w:cstheme="minorHAnsi"/>
          <w:sz w:val="22"/>
        </w:rPr>
        <w:t xml:space="preserve"> </w:t>
      </w:r>
      <w:proofErr w:type="spellStart"/>
      <w:r w:rsidR="00F05400" w:rsidRPr="00B27536">
        <w:rPr>
          <w:rFonts w:asciiTheme="minorHAnsi" w:hAnsiTheme="minorHAnsi" w:cstheme="minorHAnsi"/>
          <w:sz w:val="22"/>
        </w:rPr>
        <w:t>podrazumeva</w:t>
      </w:r>
      <w:proofErr w:type="spellEnd"/>
      <w:r w:rsidR="00F05400" w:rsidRPr="00B27536">
        <w:rPr>
          <w:rFonts w:asciiTheme="minorHAnsi" w:hAnsiTheme="minorHAnsi" w:cstheme="minorHAnsi"/>
          <w:sz w:val="22"/>
        </w:rPr>
        <w:t xml:space="preserve"> </w:t>
      </w:r>
      <w:proofErr w:type="spellStart"/>
      <w:r w:rsidR="00F05400" w:rsidRPr="00B27536">
        <w:rPr>
          <w:rFonts w:asciiTheme="minorHAnsi" w:hAnsiTheme="minorHAnsi" w:cstheme="minorHAnsi"/>
          <w:sz w:val="22"/>
        </w:rPr>
        <w:t>poboljšanje</w:t>
      </w:r>
      <w:proofErr w:type="spellEnd"/>
      <w:r w:rsidR="00F05400" w:rsidRPr="00B27536">
        <w:rPr>
          <w:rFonts w:asciiTheme="minorHAnsi" w:hAnsiTheme="minorHAnsi" w:cstheme="minorHAnsi"/>
          <w:sz w:val="22"/>
        </w:rPr>
        <w:t xml:space="preserve"> </w:t>
      </w:r>
      <w:proofErr w:type="spellStart"/>
      <w:r w:rsidR="00F05400" w:rsidRPr="00B27536">
        <w:rPr>
          <w:rFonts w:asciiTheme="minorHAnsi" w:hAnsiTheme="minorHAnsi" w:cstheme="minorHAnsi"/>
          <w:sz w:val="22"/>
        </w:rPr>
        <w:t>uslova</w:t>
      </w:r>
      <w:proofErr w:type="spellEnd"/>
      <w:r w:rsidR="00F05400" w:rsidRPr="00B27536">
        <w:rPr>
          <w:rFonts w:asciiTheme="minorHAnsi" w:hAnsiTheme="minorHAnsi" w:cstheme="minorHAnsi"/>
          <w:sz w:val="22"/>
        </w:rPr>
        <w:t xml:space="preserve"> </w:t>
      </w:r>
      <w:proofErr w:type="spellStart"/>
      <w:r w:rsidR="00F05400" w:rsidRPr="00B27536">
        <w:rPr>
          <w:rFonts w:asciiTheme="minorHAnsi" w:hAnsiTheme="minorHAnsi" w:cstheme="minorHAnsi"/>
          <w:sz w:val="22"/>
        </w:rPr>
        <w:t>obrazovanja</w:t>
      </w:r>
      <w:proofErr w:type="spellEnd"/>
      <w:r w:rsidR="00F05400" w:rsidRPr="00B27536">
        <w:rPr>
          <w:rFonts w:asciiTheme="minorHAnsi" w:hAnsiTheme="minorHAnsi" w:cstheme="minorHAnsi"/>
          <w:sz w:val="22"/>
        </w:rPr>
        <w:t xml:space="preserve"> </w:t>
      </w:r>
      <w:proofErr w:type="spellStart"/>
      <w:r w:rsidR="00F05400" w:rsidRPr="00B27536">
        <w:rPr>
          <w:rFonts w:asciiTheme="minorHAnsi" w:hAnsiTheme="minorHAnsi" w:cstheme="minorHAnsi"/>
          <w:sz w:val="22"/>
        </w:rPr>
        <w:t>i</w:t>
      </w:r>
      <w:proofErr w:type="spellEnd"/>
      <w:r w:rsidR="00F05400" w:rsidRPr="00B27536">
        <w:rPr>
          <w:rFonts w:asciiTheme="minorHAnsi" w:hAnsiTheme="minorHAnsi" w:cstheme="minorHAnsi"/>
          <w:sz w:val="22"/>
        </w:rPr>
        <w:t xml:space="preserve"> </w:t>
      </w:r>
      <w:proofErr w:type="spellStart"/>
      <w:r w:rsidR="00F05400" w:rsidRPr="00B27536">
        <w:rPr>
          <w:rFonts w:asciiTheme="minorHAnsi" w:hAnsiTheme="minorHAnsi" w:cstheme="minorHAnsi"/>
          <w:sz w:val="22"/>
        </w:rPr>
        <w:t>vaspitanja</w:t>
      </w:r>
      <w:proofErr w:type="spellEnd"/>
      <w:r w:rsidR="00F05400" w:rsidRPr="00B27536">
        <w:rPr>
          <w:rFonts w:asciiTheme="minorHAnsi" w:hAnsiTheme="minorHAnsi" w:cstheme="minorHAnsi"/>
          <w:sz w:val="22"/>
        </w:rPr>
        <w:t xml:space="preserve"> u </w:t>
      </w:r>
      <w:proofErr w:type="spellStart"/>
      <w:r w:rsidR="00F05400" w:rsidRPr="00B27536">
        <w:rPr>
          <w:rFonts w:asciiTheme="minorHAnsi" w:hAnsiTheme="minorHAnsi" w:cstheme="minorHAnsi"/>
          <w:sz w:val="22"/>
        </w:rPr>
        <w:t>pogledu</w:t>
      </w:r>
      <w:proofErr w:type="spellEnd"/>
      <w:r w:rsidR="00F05400" w:rsidRPr="00B27536">
        <w:rPr>
          <w:rFonts w:asciiTheme="minorHAnsi" w:hAnsiTheme="minorHAnsi" w:cstheme="minorHAnsi"/>
          <w:sz w:val="22"/>
        </w:rPr>
        <w:t xml:space="preserve"> </w:t>
      </w:r>
      <w:proofErr w:type="spellStart"/>
      <w:r w:rsidR="00F05400" w:rsidRPr="00B27536">
        <w:rPr>
          <w:rFonts w:asciiTheme="minorHAnsi" w:hAnsiTheme="minorHAnsi" w:cstheme="minorHAnsi"/>
          <w:sz w:val="22"/>
        </w:rPr>
        <w:t>prostora</w:t>
      </w:r>
      <w:proofErr w:type="spellEnd"/>
      <w:r w:rsidR="00F05400" w:rsidRPr="00B27536">
        <w:rPr>
          <w:rFonts w:asciiTheme="minorHAnsi" w:hAnsiTheme="minorHAnsi" w:cstheme="minorHAnsi"/>
          <w:sz w:val="22"/>
        </w:rPr>
        <w:t xml:space="preserve">, </w:t>
      </w:r>
      <w:proofErr w:type="spellStart"/>
      <w:r w:rsidR="00F05400" w:rsidRPr="00B27536">
        <w:rPr>
          <w:rFonts w:asciiTheme="minorHAnsi" w:hAnsiTheme="minorHAnsi" w:cstheme="minorHAnsi"/>
          <w:sz w:val="22"/>
        </w:rPr>
        <w:t>opreme</w:t>
      </w:r>
      <w:proofErr w:type="spellEnd"/>
      <w:r w:rsidR="00F05400" w:rsidRPr="00B27536">
        <w:rPr>
          <w:rFonts w:asciiTheme="minorHAnsi" w:hAnsiTheme="minorHAnsi" w:cstheme="minorHAnsi"/>
          <w:sz w:val="22"/>
        </w:rPr>
        <w:t xml:space="preserve"> </w:t>
      </w:r>
      <w:proofErr w:type="spellStart"/>
      <w:r w:rsidR="00F05400" w:rsidRPr="00B27536">
        <w:rPr>
          <w:rFonts w:asciiTheme="minorHAnsi" w:hAnsiTheme="minorHAnsi" w:cstheme="minorHAnsi"/>
          <w:sz w:val="22"/>
        </w:rPr>
        <w:t>i</w:t>
      </w:r>
      <w:proofErr w:type="spellEnd"/>
      <w:r w:rsidR="00F05400" w:rsidRPr="00B27536">
        <w:rPr>
          <w:rFonts w:asciiTheme="minorHAnsi" w:hAnsiTheme="minorHAnsi" w:cstheme="minorHAnsi"/>
          <w:sz w:val="22"/>
        </w:rPr>
        <w:t xml:space="preserve"> </w:t>
      </w:r>
      <w:proofErr w:type="spellStart"/>
      <w:r w:rsidR="00F05400" w:rsidRPr="00B27536">
        <w:rPr>
          <w:rFonts w:asciiTheme="minorHAnsi" w:hAnsiTheme="minorHAnsi" w:cstheme="minorHAnsi"/>
          <w:sz w:val="22"/>
        </w:rPr>
        <w:t>nastavnih</w:t>
      </w:r>
      <w:proofErr w:type="spellEnd"/>
      <w:r w:rsidR="00F05400" w:rsidRPr="00B27536">
        <w:rPr>
          <w:rFonts w:asciiTheme="minorHAnsi" w:hAnsiTheme="minorHAnsi" w:cstheme="minorHAnsi"/>
          <w:sz w:val="22"/>
        </w:rPr>
        <w:t xml:space="preserve"> </w:t>
      </w:r>
      <w:proofErr w:type="spellStart"/>
      <w:r w:rsidR="00F05400" w:rsidRPr="00B27536">
        <w:rPr>
          <w:rFonts w:asciiTheme="minorHAnsi" w:hAnsiTheme="minorHAnsi" w:cstheme="minorHAnsi"/>
          <w:sz w:val="22"/>
        </w:rPr>
        <w:t>sredstava</w:t>
      </w:r>
      <w:proofErr w:type="spellEnd"/>
      <w:r w:rsidR="00F05400" w:rsidRPr="00B27536">
        <w:rPr>
          <w:rFonts w:asciiTheme="minorHAnsi" w:hAnsiTheme="minorHAnsi" w:cstheme="minorHAnsi"/>
          <w:sz w:val="22"/>
        </w:rPr>
        <w:t xml:space="preserve">, za </w:t>
      </w:r>
      <w:proofErr w:type="spellStart"/>
      <w:r w:rsidR="00F05400" w:rsidRPr="00B27536">
        <w:rPr>
          <w:rFonts w:asciiTheme="minorHAnsi" w:hAnsiTheme="minorHAnsi" w:cstheme="minorHAnsi"/>
          <w:sz w:val="22"/>
        </w:rPr>
        <w:t>ostvarivanje</w:t>
      </w:r>
      <w:proofErr w:type="spellEnd"/>
      <w:r w:rsidR="00F05400" w:rsidRPr="00B27536">
        <w:rPr>
          <w:rFonts w:asciiTheme="minorHAnsi" w:hAnsiTheme="minorHAnsi" w:cstheme="minorHAnsi"/>
          <w:sz w:val="22"/>
        </w:rPr>
        <w:t xml:space="preserve"> </w:t>
      </w:r>
      <w:proofErr w:type="spellStart"/>
      <w:r w:rsidR="00F05400" w:rsidRPr="00B27536">
        <w:rPr>
          <w:rFonts w:asciiTheme="minorHAnsi" w:hAnsiTheme="minorHAnsi" w:cstheme="minorHAnsi"/>
          <w:sz w:val="22"/>
        </w:rPr>
        <w:t>programa</w:t>
      </w:r>
      <w:proofErr w:type="spellEnd"/>
      <w:r w:rsidR="00F05400" w:rsidRPr="00B27536">
        <w:rPr>
          <w:rFonts w:asciiTheme="minorHAnsi" w:hAnsiTheme="minorHAnsi" w:cstheme="minorHAnsi"/>
          <w:sz w:val="22"/>
        </w:rPr>
        <w:t xml:space="preserve"> koji </w:t>
      </w:r>
      <w:proofErr w:type="spellStart"/>
      <w:r w:rsidR="00F05400" w:rsidRPr="00B27536">
        <w:rPr>
          <w:rFonts w:asciiTheme="minorHAnsi" w:hAnsiTheme="minorHAnsi" w:cstheme="minorHAnsi"/>
          <w:sz w:val="22"/>
        </w:rPr>
        <w:t>nisu</w:t>
      </w:r>
      <w:proofErr w:type="spellEnd"/>
      <w:r w:rsidR="00F05400" w:rsidRPr="00B27536">
        <w:rPr>
          <w:rFonts w:asciiTheme="minorHAnsi" w:hAnsiTheme="minorHAnsi" w:cstheme="minorHAnsi"/>
          <w:sz w:val="22"/>
        </w:rPr>
        <w:t xml:space="preserve"> </w:t>
      </w:r>
      <w:proofErr w:type="spellStart"/>
      <w:r w:rsidR="00F05400" w:rsidRPr="00B27536">
        <w:rPr>
          <w:rFonts w:asciiTheme="minorHAnsi" w:hAnsiTheme="minorHAnsi" w:cstheme="minorHAnsi"/>
          <w:sz w:val="22"/>
        </w:rPr>
        <w:t>osnovna</w:t>
      </w:r>
      <w:proofErr w:type="spellEnd"/>
      <w:r w:rsidR="00F05400" w:rsidRPr="00B27536">
        <w:rPr>
          <w:rFonts w:asciiTheme="minorHAnsi" w:hAnsiTheme="minorHAnsi" w:cstheme="minorHAnsi"/>
          <w:sz w:val="22"/>
        </w:rPr>
        <w:t xml:space="preserve"> </w:t>
      </w:r>
      <w:proofErr w:type="spellStart"/>
      <w:r w:rsidR="00F05400" w:rsidRPr="00B27536">
        <w:rPr>
          <w:rFonts w:asciiTheme="minorHAnsi" w:hAnsiTheme="minorHAnsi" w:cstheme="minorHAnsi"/>
          <w:sz w:val="22"/>
        </w:rPr>
        <w:t>delatnost</w:t>
      </w:r>
      <w:proofErr w:type="spellEnd"/>
      <w:r w:rsidR="00F05400" w:rsidRPr="00B27536">
        <w:rPr>
          <w:rFonts w:asciiTheme="minorHAnsi" w:hAnsiTheme="minorHAnsi" w:cstheme="minorHAnsi"/>
          <w:sz w:val="22"/>
        </w:rPr>
        <w:t xml:space="preserve"> </w:t>
      </w:r>
      <w:proofErr w:type="spellStart"/>
      <w:r w:rsidR="00F05400" w:rsidRPr="00B27536">
        <w:rPr>
          <w:rFonts w:asciiTheme="minorHAnsi" w:hAnsiTheme="minorHAnsi" w:cstheme="minorHAnsi"/>
          <w:sz w:val="22"/>
        </w:rPr>
        <w:t>ustanove</w:t>
      </w:r>
      <w:proofErr w:type="spellEnd"/>
      <w:r w:rsidR="00F05400" w:rsidRPr="00B27536">
        <w:rPr>
          <w:rFonts w:asciiTheme="minorHAnsi" w:hAnsiTheme="minorHAnsi" w:cstheme="minorHAnsi"/>
          <w:sz w:val="22"/>
        </w:rPr>
        <w:t xml:space="preserve">, za </w:t>
      </w:r>
      <w:proofErr w:type="spellStart"/>
      <w:r w:rsidR="00F05400" w:rsidRPr="00B27536">
        <w:rPr>
          <w:rFonts w:asciiTheme="minorHAnsi" w:hAnsiTheme="minorHAnsi" w:cstheme="minorHAnsi"/>
          <w:sz w:val="22"/>
        </w:rPr>
        <w:t>ishranu</w:t>
      </w:r>
      <w:proofErr w:type="spellEnd"/>
      <w:r w:rsidR="00F05400" w:rsidRPr="00B27536">
        <w:rPr>
          <w:rFonts w:asciiTheme="minorHAnsi" w:hAnsiTheme="minorHAnsi" w:cstheme="minorHAnsi"/>
          <w:sz w:val="22"/>
        </w:rPr>
        <w:t xml:space="preserve"> </w:t>
      </w:r>
      <w:proofErr w:type="spellStart"/>
      <w:r w:rsidR="00F05400" w:rsidRPr="00B27536">
        <w:rPr>
          <w:rFonts w:asciiTheme="minorHAnsi" w:hAnsiTheme="minorHAnsi" w:cstheme="minorHAnsi"/>
          <w:sz w:val="22"/>
        </w:rPr>
        <w:t>i</w:t>
      </w:r>
      <w:proofErr w:type="spellEnd"/>
      <w:r w:rsidR="00F05400" w:rsidRPr="00B27536">
        <w:rPr>
          <w:rFonts w:asciiTheme="minorHAnsi" w:hAnsiTheme="minorHAnsi" w:cstheme="minorHAnsi"/>
          <w:sz w:val="22"/>
        </w:rPr>
        <w:t xml:space="preserve"> </w:t>
      </w:r>
      <w:proofErr w:type="spellStart"/>
      <w:r w:rsidR="00F05400" w:rsidRPr="00B27536">
        <w:rPr>
          <w:rFonts w:asciiTheme="minorHAnsi" w:hAnsiTheme="minorHAnsi" w:cstheme="minorHAnsi"/>
          <w:sz w:val="22"/>
        </w:rPr>
        <w:t>pomoć</w:t>
      </w:r>
      <w:proofErr w:type="spellEnd"/>
      <w:r w:rsidR="00F05400" w:rsidRPr="00B27536">
        <w:rPr>
          <w:rFonts w:asciiTheme="minorHAnsi" w:hAnsiTheme="minorHAnsi" w:cstheme="minorHAnsi"/>
          <w:sz w:val="22"/>
        </w:rPr>
        <w:t xml:space="preserve"> </w:t>
      </w:r>
      <w:proofErr w:type="spellStart"/>
      <w:r w:rsidR="00F05400" w:rsidRPr="00B27536">
        <w:rPr>
          <w:rFonts w:asciiTheme="minorHAnsi" w:hAnsiTheme="minorHAnsi" w:cstheme="minorHAnsi"/>
          <w:sz w:val="22"/>
        </w:rPr>
        <w:t>deci</w:t>
      </w:r>
      <w:proofErr w:type="spellEnd"/>
      <w:r w:rsidR="00F05400" w:rsidRPr="00B27536">
        <w:rPr>
          <w:rFonts w:asciiTheme="minorHAnsi" w:hAnsiTheme="minorHAnsi" w:cstheme="minorHAnsi"/>
          <w:sz w:val="22"/>
        </w:rPr>
        <w:t xml:space="preserve"> </w:t>
      </w:r>
      <w:proofErr w:type="spellStart"/>
      <w:r w:rsidR="00F05400" w:rsidRPr="00B27536">
        <w:rPr>
          <w:rFonts w:asciiTheme="minorHAnsi" w:hAnsiTheme="minorHAnsi" w:cstheme="minorHAnsi"/>
          <w:sz w:val="22"/>
        </w:rPr>
        <w:t>i</w:t>
      </w:r>
      <w:proofErr w:type="spellEnd"/>
      <w:r w:rsidR="00F05400" w:rsidRPr="00B27536">
        <w:rPr>
          <w:rFonts w:asciiTheme="minorHAnsi" w:hAnsiTheme="minorHAnsi" w:cstheme="minorHAnsi"/>
          <w:sz w:val="22"/>
        </w:rPr>
        <w:t xml:space="preserve"> </w:t>
      </w:r>
      <w:proofErr w:type="spellStart"/>
      <w:r w:rsidR="00F05400" w:rsidRPr="00B27536">
        <w:rPr>
          <w:rFonts w:asciiTheme="minorHAnsi" w:hAnsiTheme="minorHAnsi" w:cstheme="minorHAnsi"/>
          <w:sz w:val="22"/>
        </w:rPr>
        <w:t>učenicima</w:t>
      </w:r>
      <w:proofErr w:type="spellEnd"/>
      <w:r w:rsidR="00B27536" w:rsidRPr="00B27536">
        <w:rPr>
          <w:rStyle w:val="FootnoteReference"/>
          <w:rFonts w:asciiTheme="minorHAnsi" w:hAnsiTheme="minorHAnsi" w:cstheme="minorHAnsi"/>
          <w:sz w:val="22"/>
        </w:rPr>
        <w:footnoteReference w:id="9"/>
      </w:r>
      <w:r w:rsidR="00F05400" w:rsidRPr="00B27536">
        <w:rPr>
          <w:rFonts w:asciiTheme="minorHAnsi" w:hAnsiTheme="minorHAnsi" w:cstheme="minorHAnsi"/>
          <w:sz w:val="22"/>
        </w:rPr>
        <w:t>.</w:t>
      </w:r>
    </w:p>
    <w:p w14:paraId="47A52B9F" w14:textId="77777777" w:rsidR="00F05400" w:rsidRPr="00B27536" w:rsidRDefault="00F05400" w:rsidP="00F05400">
      <w:pPr>
        <w:jc w:val="both"/>
        <w:rPr>
          <w:rFonts w:asciiTheme="minorHAnsi" w:hAnsiTheme="minorHAnsi" w:cstheme="minorHAnsi"/>
          <w:sz w:val="22"/>
        </w:rPr>
      </w:pPr>
    </w:p>
    <w:p w14:paraId="26874E1A" w14:textId="6DCB79EF" w:rsidR="00F05400" w:rsidRPr="00B27536" w:rsidRDefault="00B27536" w:rsidP="00F05400">
      <w:pPr>
        <w:jc w:val="both"/>
        <w:rPr>
          <w:rFonts w:asciiTheme="minorHAnsi" w:hAnsiTheme="minorHAnsi" w:cstheme="minorHAnsi"/>
          <w:sz w:val="22"/>
        </w:rPr>
      </w:pPr>
      <w:r w:rsidRPr="00B27536">
        <w:rPr>
          <w:rFonts w:asciiTheme="minorHAnsi" w:hAnsiTheme="minorHAnsi" w:cstheme="minorHAnsi"/>
          <w:b/>
          <w:i/>
          <w:sz w:val="22"/>
        </w:rPr>
        <w:t>J</w:t>
      </w:r>
      <w:r w:rsidR="00F05400" w:rsidRPr="00B27536">
        <w:rPr>
          <w:rFonts w:asciiTheme="minorHAnsi" w:hAnsiTheme="minorHAnsi" w:cstheme="minorHAnsi"/>
          <w:b/>
          <w:i/>
          <w:sz w:val="22"/>
        </w:rPr>
        <w:t xml:space="preserve">LS </w:t>
      </w:r>
      <w:proofErr w:type="spellStart"/>
      <w:r w:rsidR="00F05400" w:rsidRPr="00B27536">
        <w:rPr>
          <w:rFonts w:asciiTheme="minorHAnsi" w:hAnsiTheme="minorHAnsi" w:cstheme="minorHAnsi"/>
          <w:b/>
          <w:i/>
          <w:sz w:val="22"/>
        </w:rPr>
        <w:t>ima</w:t>
      </w:r>
      <w:proofErr w:type="spellEnd"/>
      <w:r w:rsidR="00F05400" w:rsidRPr="00B27536">
        <w:rPr>
          <w:rFonts w:asciiTheme="minorHAnsi" w:hAnsiTheme="minorHAnsi" w:cstheme="minorHAnsi"/>
          <w:b/>
          <w:i/>
          <w:sz w:val="22"/>
        </w:rPr>
        <w:t xml:space="preserve"> </w:t>
      </w:r>
      <w:proofErr w:type="spellStart"/>
      <w:r w:rsidR="00F05400" w:rsidRPr="00B27536">
        <w:rPr>
          <w:rFonts w:asciiTheme="minorHAnsi" w:hAnsiTheme="minorHAnsi" w:cstheme="minorHAnsi"/>
          <w:b/>
          <w:i/>
          <w:sz w:val="22"/>
        </w:rPr>
        <w:t>i</w:t>
      </w:r>
      <w:proofErr w:type="spellEnd"/>
      <w:r w:rsidR="00F05400" w:rsidRPr="00B27536">
        <w:rPr>
          <w:rFonts w:asciiTheme="minorHAnsi" w:hAnsiTheme="minorHAnsi" w:cstheme="minorHAnsi"/>
          <w:b/>
          <w:i/>
          <w:sz w:val="22"/>
        </w:rPr>
        <w:t xml:space="preserve"> </w:t>
      </w:r>
      <w:proofErr w:type="spellStart"/>
      <w:r w:rsidR="00F05400" w:rsidRPr="00B27536">
        <w:rPr>
          <w:rFonts w:asciiTheme="minorHAnsi" w:hAnsiTheme="minorHAnsi" w:cstheme="minorHAnsi"/>
          <w:b/>
          <w:i/>
          <w:sz w:val="22"/>
        </w:rPr>
        <w:t>druge</w:t>
      </w:r>
      <w:proofErr w:type="spellEnd"/>
      <w:r w:rsidR="00F05400" w:rsidRPr="00B27536">
        <w:rPr>
          <w:rFonts w:asciiTheme="minorHAnsi" w:hAnsiTheme="minorHAnsi" w:cstheme="minorHAnsi"/>
          <w:b/>
          <w:i/>
          <w:sz w:val="22"/>
        </w:rPr>
        <w:t xml:space="preserve"> </w:t>
      </w:r>
      <w:proofErr w:type="spellStart"/>
      <w:r w:rsidR="00F05400" w:rsidRPr="00B27536">
        <w:rPr>
          <w:rFonts w:asciiTheme="minorHAnsi" w:hAnsiTheme="minorHAnsi" w:cstheme="minorHAnsi"/>
          <w:b/>
          <w:i/>
          <w:sz w:val="22"/>
        </w:rPr>
        <w:t>vrlo</w:t>
      </w:r>
      <w:proofErr w:type="spellEnd"/>
      <w:r w:rsidR="00F05400" w:rsidRPr="00B27536">
        <w:rPr>
          <w:rFonts w:asciiTheme="minorHAnsi" w:hAnsiTheme="minorHAnsi" w:cstheme="minorHAnsi"/>
          <w:b/>
          <w:i/>
          <w:sz w:val="22"/>
        </w:rPr>
        <w:t xml:space="preserve"> </w:t>
      </w:r>
      <w:proofErr w:type="spellStart"/>
      <w:r w:rsidR="00F05400" w:rsidRPr="00B27536">
        <w:rPr>
          <w:rFonts w:asciiTheme="minorHAnsi" w:hAnsiTheme="minorHAnsi" w:cstheme="minorHAnsi"/>
          <w:b/>
          <w:i/>
          <w:sz w:val="22"/>
        </w:rPr>
        <w:t>važne</w:t>
      </w:r>
      <w:proofErr w:type="spellEnd"/>
      <w:r w:rsidR="00F05400" w:rsidRPr="00B27536">
        <w:rPr>
          <w:rFonts w:asciiTheme="minorHAnsi" w:hAnsiTheme="minorHAnsi" w:cstheme="minorHAnsi"/>
          <w:b/>
          <w:i/>
          <w:sz w:val="22"/>
        </w:rPr>
        <w:t xml:space="preserve"> </w:t>
      </w:r>
      <w:proofErr w:type="spellStart"/>
      <w:r w:rsidR="00F05400" w:rsidRPr="00B27536">
        <w:rPr>
          <w:rFonts w:asciiTheme="minorHAnsi" w:hAnsiTheme="minorHAnsi" w:cstheme="minorHAnsi"/>
          <w:b/>
          <w:i/>
          <w:sz w:val="22"/>
        </w:rPr>
        <w:t>nadležnosti</w:t>
      </w:r>
      <w:proofErr w:type="spellEnd"/>
      <w:r w:rsidR="00F05400" w:rsidRPr="00B27536">
        <w:rPr>
          <w:rFonts w:asciiTheme="minorHAnsi" w:hAnsiTheme="minorHAnsi" w:cstheme="minorHAnsi"/>
          <w:b/>
          <w:i/>
          <w:sz w:val="22"/>
        </w:rPr>
        <w:t xml:space="preserve"> </w:t>
      </w:r>
      <w:proofErr w:type="spellStart"/>
      <w:r w:rsidR="00F05400" w:rsidRPr="00B27536">
        <w:rPr>
          <w:rFonts w:asciiTheme="minorHAnsi" w:hAnsiTheme="minorHAnsi" w:cstheme="minorHAnsi"/>
          <w:b/>
          <w:i/>
          <w:sz w:val="22"/>
        </w:rPr>
        <w:t>vezane</w:t>
      </w:r>
      <w:proofErr w:type="spellEnd"/>
      <w:r w:rsidR="00F05400" w:rsidRPr="00B27536">
        <w:rPr>
          <w:rFonts w:asciiTheme="minorHAnsi" w:hAnsiTheme="minorHAnsi" w:cstheme="minorHAnsi"/>
          <w:b/>
          <w:i/>
          <w:sz w:val="22"/>
        </w:rPr>
        <w:t xml:space="preserve"> za </w:t>
      </w:r>
      <w:proofErr w:type="spellStart"/>
      <w:r w:rsidR="00F05400" w:rsidRPr="00B27536">
        <w:rPr>
          <w:rFonts w:asciiTheme="minorHAnsi" w:hAnsiTheme="minorHAnsi" w:cstheme="minorHAnsi"/>
          <w:b/>
          <w:i/>
          <w:sz w:val="22"/>
        </w:rPr>
        <w:t>obrazovanje</w:t>
      </w:r>
      <w:proofErr w:type="spellEnd"/>
      <w:r w:rsidR="00F05400" w:rsidRPr="00B27536">
        <w:rPr>
          <w:rFonts w:asciiTheme="minorHAnsi" w:hAnsiTheme="minorHAnsi" w:cstheme="minorHAnsi"/>
          <w:b/>
          <w:i/>
          <w:sz w:val="22"/>
        </w:rPr>
        <w:t xml:space="preserve"> </w:t>
      </w:r>
      <w:proofErr w:type="spellStart"/>
      <w:r w:rsidR="00F05400" w:rsidRPr="00B27536">
        <w:rPr>
          <w:rFonts w:asciiTheme="minorHAnsi" w:hAnsiTheme="minorHAnsi" w:cstheme="minorHAnsi"/>
          <w:b/>
          <w:i/>
          <w:sz w:val="22"/>
        </w:rPr>
        <w:t>koje</w:t>
      </w:r>
      <w:proofErr w:type="spellEnd"/>
      <w:r w:rsidR="00F05400" w:rsidRPr="00B27536">
        <w:rPr>
          <w:rFonts w:asciiTheme="minorHAnsi" w:hAnsiTheme="minorHAnsi" w:cstheme="minorHAnsi"/>
          <w:b/>
          <w:i/>
          <w:sz w:val="22"/>
        </w:rPr>
        <w:t xml:space="preserve"> </w:t>
      </w:r>
      <w:proofErr w:type="spellStart"/>
      <w:r w:rsidR="00F05400" w:rsidRPr="00B27536">
        <w:rPr>
          <w:rFonts w:asciiTheme="minorHAnsi" w:hAnsiTheme="minorHAnsi" w:cstheme="minorHAnsi"/>
          <w:b/>
          <w:i/>
          <w:sz w:val="22"/>
        </w:rPr>
        <w:t>jedinica</w:t>
      </w:r>
      <w:proofErr w:type="spellEnd"/>
      <w:r w:rsidR="00F05400" w:rsidRPr="00B27536">
        <w:rPr>
          <w:rFonts w:asciiTheme="minorHAnsi" w:hAnsiTheme="minorHAnsi" w:cstheme="minorHAnsi"/>
          <w:b/>
          <w:i/>
          <w:sz w:val="22"/>
        </w:rPr>
        <w:t xml:space="preserve"> LS </w:t>
      </w:r>
      <w:proofErr w:type="spellStart"/>
      <w:r w:rsidR="00F05400" w:rsidRPr="00B27536">
        <w:rPr>
          <w:rFonts w:asciiTheme="minorHAnsi" w:hAnsiTheme="minorHAnsi" w:cstheme="minorHAnsi"/>
          <w:b/>
          <w:i/>
          <w:sz w:val="22"/>
        </w:rPr>
        <w:t>indirektno</w:t>
      </w:r>
      <w:proofErr w:type="spellEnd"/>
      <w:r w:rsidR="00F05400" w:rsidRPr="00B27536">
        <w:rPr>
          <w:rFonts w:asciiTheme="minorHAnsi" w:hAnsiTheme="minorHAnsi" w:cstheme="minorHAnsi"/>
          <w:b/>
          <w:i/>
          <w:sz w:val="22"/>
        </w:rPr>
        <w:t xml:space="preserve"> </w:t>
      </w:r>
      <w:proofErr w:type="spellStart"/>
      <w:r w:rsidR="00F05400" w:rsidRPr="00B27536">
        <w:rPr>
          <w:rFonts w:asciiTheme="minorHAnsi" w:hAnsiTheme="minorHAnsi" w:cstheme="minorHAnsi"/>
          <w:b/>
          <w:i/>
          <w:sz w:val="22"/>
        </w:rPr>
        <w:t>finansira</w:t>
      </w:r>
      <w:proofErr w:type="spellEnd"/>
      <w:r w:rsidR="00F05400" w:rsidRPr="00B27536">
        <w:rPr>
          <w:rFonts w:asciiTheme="minorHAnsi" w:hAnsiTheme="minorHAnsi" w:cstheme="minorHAnsi"/>
          <w:b/>
          <w:i/>
          <w:sz w:val="22"/>
        </w:rPr>
        <w:t>.</w:t>
      </w:r>
      <w:r w:rsidR="00F05400" w:rsidRPr="00B27536">
        <w:rPr>
          <w:rFonts w:asciiTheme="minorHAnsi" w:hAnsiTheme="minorHAnsi" w:cstheme="minorHAnsi"/>
          <w:sz w:val="22"/>
        </w:rPr>
        <w:t xml:space="preserve"> Na primer, </w:t>
      </w:r>
      <w:proofErr w:type="spellStart"/>
      <w:r w:rsidR="00F05400" w:rsidRPr="00B27536">
        <w:rPr>
          <w:rFonts w:asciiTheme="minorHAnsi" w:hAnsiTheme="minorHAnsi" w:cstheme="minorHAnsi"/>
          <w:sz w:val="22"/>
        </w:rPr>
        <w:t>jedinica</w:t>
      </w:r>
      <w:proofErr w:type="spellEnd"/>
      <w:r w:rsidR="00F05400" w:rsidRPr="00B27536">
        <w:rPr>
          <w:rFonts w:asciiTheme="minorHAnsi" w:hAnsiTheme="minorHAnsi" w:cstheme="minorHAnsi"/>
          <w:sz w:val="22"/>
        </w:rPr>
        <w:t xml:space="preserve"> </w:t>
      </w:r>
      <w:proofErr w:type="spellStart"/>
      <w:r w:rsidR="00F05400" w:rsidRPr="00B27536">
        <w:rPr>
          <w:rFonts w:asciiTheme="minorHAnsi" w:hAnsiTheme="minorHAnsi" w:cstheme="minorHAnsi"/>
          <w:sz w:val="22"/>
        </w:rPr>
        <w:t>lokalne</w:t>
      </w:r>
      <w:proofErr w:type="spellEnd"/>
      <w:r w:rsidR="00F05400" w:rsidRPr="00B27536">
        <w:rPr>
          <w:rFonts w:asciiTheme="minorHAnsi" w:hAnsiTheme="minorHAnsi" w:cstheme="minorHAnsi"/>
          <w:sz w:val="22"/>
        </w:rPr>
        <w:t xml:space="preserve"> </w:t>
      </w:r>
      <w:proofErr w:type="spellStart"/>
      <w:r w:rsidR="00F05400" w:rsidRPr="00B27536">
        <w:rPr>
          <w:rFonts w:asciiTheme="minorHAnsi" w:hAnsiTheme="minorHAnsi" w:cstheme="minorHAnsi"/>
          <w:sz w:val="22"/>
        </w:rPr>
        <w:t>samouprave</w:t>
      </w:r>
      <w:proofErr w:type="spellEnd"/>
      <w:r w:rsidR="00F05400" w:rsidRPr="00B27536">
        <w:rPr>
          <w:rFonts w:asciiTheme="minorHAnsi" w:hAnsiTheme="minorHAnsi" w:cstheme="minorHAnsi"/>
          <w:sz w:val="22"/>
        </w:rPr>
        <w:t xml:space="preserve"> </w:t>
      </w:r>
      <w:proofErr w:type="spellStart"/>
      <w:r w:rsidR="00F05400" w:rsidRPr="00B27536">
        <w:rPr>
          <w:rFonts w:asciiTheme="minorHAnsi" w:hAnsiTheme="minorHAnsi" w:cstheme="minorHAnsi"/>
          <w:sz w:val="22"/>
        </w:rPr>
        <w:t>vodi</w:t>
      </w:r>
      <w:proofErr w:type="spellEnd"/>
      <w:r w:rsidR="00F05400" w:rsidRPr="00B27536">
        <w:rPr>
          <w:rFonts w:asciiTheme="minorHAnsi" w:hAnsiTheme="minorHAnsi" w:cstheme="minorHAnsi"/>
          <w:sz w:val="22"/>
        </w:rPr>
        <w:t xml:space="preserve"> </w:t>
      </w:r>
      <w:proofErr w:type="spellStart"/>
      <w:r w:rsidR="00F05400" w:rsidRPr="00B27536">
        <w:rPr>
          <w:rFonts w:asciiTheme="minorHAnsi" w:hAnsiTheme="minorHAnsi" w:cstheme="minorHAnsi"/>
          <w:sz w:val="22"/>
        </w:rPr>
        <w:t>evidenciju</w:t>
      </w:r>
      <w:proofErr w:type="spellEnd"/>
      <w:r w:rsidR="00F05400" w:rsidRPr="00B27536">
        <w:rPr>
          <w:rFonts w:asciiTheme="minorHAnsi" w:hAnsiTheme="minorHAnsi" w:cstheme="minorHAnsi"/>
          <w:sz w:val="22"/>
        </w:rPr>
        <w:t xml:space="preserve"> </w:t>
      </w:r>
      <w:proofErr w:type="spellStart"/>
      <w:r w:rsidR="00F05400" w:rsidRPr="00B27536">
        <w:rPr>
          <w:rFonts w:asciiTheme="minorHAnsi" w:hAnsiTheme="minorHAnsi" w:cstheme="minorHAnsi"/>
          <w:sz w:val="22"/>
        </w:rPr>
        <w:t>i</w:t>
      </w:r>
      <w:proofErr w:type="spellEnd"/>
      <w:r w:rsidR="00F05400" w:rsidRPr="00B27536">
        <w:rPr>
          <w:rFonts w:asciiTheme="minorHAnsi" w:hAnsiTheme="minorHAnsi" w:cstheme="minorHAnsi"/>
          <w:sz w:val="22"/>
        </w:rPr>
        <w:t xml:space="preserve"> </w:t>
      </w:r>
      <w:proofErr w:type="spellStart"/>
      <w:r w:rsidR="00F05400" w:rsidRPr="00B27536">
        <w:rPr>
          <w:rFonts w:asciiTheme="minorHAnsi" w:hAnsiTheme="minorHAnsi" w:cstheme="minorHAnsi"/>
          <w:sz w:val="22"/>
        </w:rPr>
        <w:t>obaveštava</w:t>
      </w:r>
      <w:proofErr w:type="spellEnd"/>
      <w:r w:rsidR="00F05400" w:rsidRPr="00B27536">
        <w:rPr>
          <w:rFonts w:asciiTheme="minorHAnsi" w:hAnsiTheme="minorHAnsi" w:cstheme="minorHAnsi"/>
          <w:sz w:val="22"/>
        </w:rPr>
        <w:t xml:space="preserve"> </w:t>
      </w:r>
      <w:proofErr w:type="spellStart"/>
      <w:r w:rsidR="00F05400" w:rsidRPr="00B27536">
        <w:rPr>
          <w:rFonts w:asciiTheme="minorHAnsi" w:hAnsiTheme="minorHAnsi" w:cstheme="minorHAnsi"/>
          <w:sz w:val="22"/>
        </w:rPr>
        <w:t>školu</w:t>
      </w:r>
      <w:proofErr w:type="spellEnd"/>
      <w:r w:rsidR="00F05400" w:rsidRPr="00B27536">
        <w:rPr>
          <w:rFonts w:asciiTheme="minorHAnsi" w:hAnsiTheme="minorHAnsi" w:cstheme="minorHAnsi"/>
          <w:sz w:val="22"/>
        </w:rPr>
        <w:t xml:space="preserve"> </w:t>
      </w:r>
      <w:proofErr w:type="spellStart"/>
      <w:r w:rsidR="00F05400" w:rsidRPr="00B27536">
        <w:rPr>
          <w:rFonts w:asciiTheme="minorHAnsi" w:hAnsiTheme="minorHAnsi" w:cstheme="minorHAnsi"/>
          <w:sz w:val="22"/>
        </w:rPr>
        <w:t>i</w:t>
      </w:r>
      <w:proofErr w:type="spellEnd"/>
      <w:r w:rsidR="00F05400" w:rsidRPr="00B27536">
        <w:rPr>
          <w:rFonts w:asciiTheme="minorHAnsi" w:hAnsiTheme="minorHAnsi" w:cstheme="minorHAnsi"/>
          <w:sz w:val="22"/>
        </w:rPr>
        <w:t xml:space="preserve"> </w:t>
      </w:r>
      <w:proofErr w:type="spellStart"/>
      <w:r w:rsidR="00F05400" w:rsidRPr="00B27536">
        <w:rPr>
          <w:rFonts w:asciiTheme="minorHAnsi" w:hAnsiTheme="minorHAnsi" w:cstheme="minorHAnsi"/>
          <w:sz w:val="22"/>
        </w:rPr>
        <w:t>roditelje</w:t>
      </w:r>
      <w:proofErr w:type="spellEnd"/>
      <w:r w:rsidR="00F05400" w:rsidRPr="00B27536">
        <w:rPr>
          <w:rFonts w:asciiTheme="minorHAnsi" w:hAnsiTheme="minorHAnsi" w:cstheme="minorHAnsi"/>
          <w:sz w:val="22"/>
        </w:rPr>
        <w:t xml:space="preserve">, </w:t>
      </w:r>
      <w:proofErr w:type="spellStart"/>
      <w:r w:rsidR="00F05400" w:rsidRPr="00B27536">
        <w:rPr>
          <w:rFonts w:asciiTheme="minorHAnsi" w:hAnsiTheme="minorHAnsi" w:cstheme="minorHAnsi"/>
          <w:sz w:val="22"/>
        </w:rPr>
        <w:t>odnosno</w:t>
      </w:r>
      <w:proofErr w:type="spellEnd"/>
      <w:r w:rsidR="00F05400" w:rsidRPr="00B27536">
        <w:rPr>
          <w:rFonts w:asciiTheme="minorHAnsi" w:hAnsiTheme="minorHAnsi" w:cstheme="minorHAnsi"/>
          <w:sz w:val="22"/>
        </w:rPr>
        <w:t xml:space="preserve"> </w:t>
      </w:r>
      <w:proofErr w:type="spellStart"/>
      <w:r w:rsidR="00F05400" w:rsidRPr="00B27536">
        <w:rPr>
          <w:rFonts w:asciiTheme="minorHAnsi" w:hAnsiTheme="minorHAnsi" w:cstheme="minorHAnsi"/>
          <w:sz w:val="22"/>
        </w:rPr>
        <w:t>staratelje</w:t>
      </w:r>
      <w:proofErr w:type="spellEnd"/>
      <w:r w:rsidR="00F05400" w:rsidRPr="00B27536">
        <w:rPr>
          <w:rFonts w:asciiTheme="minorHAnsi" w:hAnsiTheme="minorHAnsi" w:cstheme="minorHAnsi"/>
          <w:sz w:val="22"/>
        </w:rPr>
        <w:t xml:space="preserve"> o </w:t>
      </w:r>
      <w:proofErr w:type="spellStart"/>
      <w:r w:rsidR="00F05400" w:rsidRPr="00B27536">
        <w:rPr>
          <w:rFonts w:asciiTheme="minorHAnsi" w:hAnsiTheme="minorHAnsi" w:cstheme="minorHAnsi"/>
          <w:sz w:val="22"/>
        </w:rPr>
        <w:t>deci</w:t>
      </w:r>
      <w:proofErr w:type="spellEnd"/>
      <w:r w:rsidR="00F05400" w:rsidRPr="00B27536">
        <w:rPr>
          <w:rFonts w:asciiTheme="minorHAnsi" w:hAnsiTheme="minorHAnsi" w:cstheme="minorHAnsi"/>
          <w:sz w:val="22"/>
        </w:rPr>
        <w:t xml:space="preserve"> </w:t>
      </w:r>
      <w:proofErr w:type="spellStart"/>
      <w:r w:rsidR="00F05400" w:rsidRPr="00B27536">
        <w:rPr>
          <w:rFonts w:asciiTheme="minorHAnsi" w:hAnsiTheme="minorHAnsi" w:cstheme="minorHAnsi"/>
          <w:sz w:val="22"/>
        </w:rPr>
        <w:t>koja</w:t>
      </w:r>
      <w:proofErr w:type="spellEnd"/>
      <w:r w:rsidR="00F05400" w:rsidRPr="00B27536">
        <w:rPr>
          <w:rFonts w:asciiTheme="minorHAnsi" w:hAnsiTheme="minorHAnsi" w:cstheme="minorHAnsi"/>
          <w:sz w:val="22"/>
        </w:rPr>
        <w:t xml:space="preserve"> </w:t>
      </w:r>
      <w:proofErr w:type="spellStart"/>
      <w:r w:rsidR="00F05400" w:rsidRPr="00B27536">
        <w:rPr>
          <w:rFonts w:asciiTheme="minorHAnsi" w:hAnsiTheme="minorHAnsi" w:cstheme="minorHAnsi"/>
          <w:sz w:val="22"/>
        </w:rPr>
        <w:t>su</w:t>
      </w:r>
      <w:proofErr w:type="spellEnd"/>
      <w:r w:rsidR="00F05400" w:rsidRPr="00B27536">
        <w:rPr>
          <w:rFonts w:asciiTheme="minorHAnsi" w:hAnsiTheme="minorHAnsi" w:cstheme="minorHAnsi"/>
          <w:sz w:val="22"/>
        </w:rPr>
        <w:t xml:space="preserve"> </w:t>
      </w:r>
      <w:proofErr w:type="spellStart"/>
      <w:r w:rsidR="00F05400" w:rsidRPr="00B27536">
        <w:rPr>
          <w:rFonts w:asciiTheme="minorHAnsi" w:hAnsiTheme="minorHAnsi" w:cstheme="minorHAnsi"/>
          <w:sz w:val="22"/>
        </w:rPr>
        <w:t>stasala</w:t>
      </w:r>
      <w:proofErr w:type="spellEnd"/>
      <w:r w:rsidR="00F05400" w:rsidRPr="00B27536">
        <w:rPr>
          <w:rFonts w:asciiTheme="minorHAnsi" w:hAnsiTheme="minorHAnsi" w:cstheme="minorHAnsi"/>
          <w:sz w:val="22"/>
        </w:rPr>
        <w:t xml:space="preserve"> za </w:t>
      </w:r>
      <w:proofErr w:type="spellStart"/>
      <w:r w:rsidR="00F05400" w:rsidRPr="00B27536">
        <w:rPr>
          <w:rFonts w:asciiTheme="minorHAnsi" w:hAnsiTheme="minorHAnsi" w:cstheme="minorHAnsi"/>
          <w:sz w:val="22"/>
        </w:rPr>
        <w:t>upis</w:t>
      </w:r>
      <w:proofErr w:type="spellEnd"/>
      <w:r w:rsidR="00F05400" w:rsidRPr="00B27536">
        <w:rPr>
          <w:rFonts w:asciiTheme="minorHAnsi" w:hAnsiTheme="minorHAnsi" w:cstheme="minorHAnsi"/>
          <w:sz w:val="22"/>
        </w:rPr>
        <w:t xml:space="preserve"> u PPP </w:t>
      </w:r>
      <w:proofErr w:type="spellStart"/>
      <w:r w:rsidR="00F05400" w:rsidRPr="00B27536">
        <w:rPr>
          <w:rFonts w:asciiTheme="minorHAnsi" w:hAnsiTheme="minorHAnsi" w:cstheme="minorHAnsi"/>
          <w:sz w:val="22"/>
        </w:rPr>
        <w:t>i</w:t>
      </w:r>
      <w:proofErr w:type="spellEnd"/>
      <w:r w:rsidR="00F05400" w:rsidRPr="00B27536">
        <w:rPr>
          <w:rFonts w:asciiTheme="minorHAnsi" w:hAnsiTheme="minorHAnsi" w:cstheme="minorHAnsi"/>
          <w:sz w:val="22"/>
        </w:rPr>
        <w:t xml:space="preserve"> u </w:t>
      </w:r>
      <w:proofErr w:type="spellStart"/>
      <w:r w:rsidR="00F05400" w:rsidRPr="00B27536">
        <w:rPr>
          <w:rFonts w:asciiTheme="minorHAnsi" w:hAnsiTheme="minorHAnsi" w:cstheme="minorHAnsi"/>
          <w:sz w:val="22"/>
        </w:rPr>
        <w:t>osnovnu</w:t>
      </w:r>
      <w:proofErr w:type="spellEnd"/>
      <w:r w:rsidR="00F05400" w:rsidRPr="00B27536">
        <w:rPr>
          <w:rFonts w:asciiTheme="minorHAnsi" w:hAnsiTheme="minorHAnsi" w:cstheme="minorHAnsi"/>
          <w:sz w:val="22"/>
        </w:rPr>
        <w:t xml:space="preserve"> </w:t>
      </w:r>
      <w:proofErr w:type="spellStart"/>
      <w:r w:rsidR="00F05400" w:rsidRPr="00B27536">
        <w:rPr>
          <w:rFonts w:asciiTheme="minorHAnsi" w:hAnsiTheme="minorHAnsi" w:cstheme="minorHAnsi"/>
          <w:sz w:val="22"/>
        </w:rPr>
        <w:t>školu</w:t>
      </w:r>
      <w:proofErr w:type="spellEnd"/>
      <w:r w:rsidR="00F05400" w:rsidRPr="00B27536">
        <w:rPr>
          <w:rStyle w:val="FootnoteReference"/>
          <w:rFonts w:asciiTheme="minorHAnsi" w:hAnsiTheme="minorHAnsi" w:cstheme="minorHAnsi"/>
          <w:sz w:val="22"/>
        </w:rPr>
        <w:footnoteReference w:id="10"/>
      </w:r>
      <w:r w:rsidR="00F05400" w:rsidRPr="00B27536">
        <w:rPr>
          <w:rFonts w:asciiTheme="minorHAnsi" w:hAnsiTheme="minorHAnsi" w:cstheme="minorHAnsi"/>
          <w:sz w:val="22"/>
        </w:rPr>
        <w:t xml:space="preserve">. </w:t>
      </w:r>
    </w:p>
    <w:p w14:paraId="2FCBFF08" w14:textId="77777777" w:rsidR="00F05400" w:rsidRPr="007E778B" w:rsidRDefault="00F05400" w:rsidP="00F05400">
      <w:pPr>
        <w:spacing w:line="276" w:lineRule="auto"/>
        <w:jc w:val="both"/>
        <w:rPr>
          <w:rFonts w:asciiTheme="minorHAnsi" w:hAnsiTheme="minorHAnsi" w:cstheme="minorHAnsi"/>
          <w:b/>
          <w:i/>
          <w:sz w:val="22"/>
        </w:rPr>
      </w:pPr>
    </w:p>
    <w:p w14:paraId="73E3A9C7" w14:textId="1628556C" w:rsidR="00F05400" w:rsidRPr="00CB1688" w:rsidRDefault="009629DE" w:rsidP="00F05400">
      <w:pPr>
        <w:spacing w:line="276" w:lineRule="auto"/>
        <w:jc w:val="both"/>
        <w:rPr>
          <w:rFonts w:asciiTheme="minorHAnsi" w:hAnsiTheme="minorHAnsi" w:cstheme="minorHAnsi"/>
          <w:sz w:val="22"/>
        </w:rPr>
      </w:pPr>
      <w:proofErr w:type="spellStart"/>
      <w:r w:rsidRPr="002E7F35">
        <w:rPr>
          <w:rFonts w:asciiTheme="minorHAnsi" w:hAnsiTheme="minorHAnsi" w:cstheme="minorHAnsi"/>
          <w:b/>
          <w:i/>
          <w:sz w:val="22"/>
        </w:rPr>
        <w:t>Rashodi</w:t>
      </w:r>
      <w:proofErr w:type="spellEnd"/>
      <w:r w:rsidRPr="002E7F35">
        <w:rPr>
          <w:rFonts w:asciiTheme="minorHAnsi" w:hAnsiTheme="minorHAnsi" w:cstheme="minorHAnsi"/>
          <w:b/>
          <w:i/>
          <w:sz w:val="22"/>
        </w:rPr>
        <w:t xml:space="preserve"> za </w:t>
      </w:r>
      <w:proofErr w:type="spellStart"/>
      <w:r w:rsidRPr="002E7F35">
        <w:rPr>
          <w:rFonts w:asciiTheme="minorHAnsi" w:hAnsiTheme="minorHAnsi" w:cstheme="minorHAnsi"/>
          <w:b/>
          <w:i/>
          <w:sz w:val="22"/>
        </w:rPr>
        <w:t>obrazovanje</w:t>
      </w:r>
      <w:proofErr w:type="spellEnd"/>
      <w:r w:rsidRPr="002E7F35">
        <w:rPr>
          <w:rFonts w:asciiTheme="minorHAnsi" w:hAnsiTheme="minorHAnsi" w:cstheme="minorHAnsi"/>
          <w:b/>
          <w:i/>
          <w:sz w:val="22"/>
        </w:rPr>
        <w:t xml:space="preserve"> </w:t>
      </w:r>
      <w:r w:rsidR="00CB1688" w:rsidRPr="002E7F35">
        <w:rPr>
          <w:rFonts w:asciiTheme="minorHAnsi" w:hAnsiTheme="minorHAnsi" w:cstheme="minorHAnsi"/>
          <w:b/>
          <w:i/>
          <w:sz w:val="22"/>
        </w:rPr>
        <w:t xml:space="preserve">u </w:t>
      </w:r>
      <w:proofErr w:type="spellStart"/>
      <w:r w:rsidR="00CB1688" w:rsidRPr="002E7F35">
        <w:rPr>
          <w:rFonts w:asciiTheme="minorHAnsi" w:hAnsiTheme="minorHAnsi" w:cstheme="minorHAnsi"/>
          <w:b/>
          <w:i/>
          <w:sz w:val="22"/>
        </w:rPr>
        <w:t>ukupnom</w:t>
      </w:r>
      <w:proofErr w:type="spellEnd"/>
      <w:r w:rsidR="00CB1688" w:rsidRPr="002E7F35">
        <w:rPr>
          <w:rFonts w:asciiTheme="minorHAnsi" w:hAnsiTheme="minorHAnsi" w:cstheme="minorHAnsi"/>
          <w:b/>
          <w:i/>
          <w:sz w:val="22"/>
        </w:rPr>
        <w:t xml:space="preserve"> </w:t>
      </w:r>
      <w:proofErr w:type="spellStart"/>
      <w:r w:rsidR="00CB1688" w:rsidRPr="002E7F35">
        <w:rPr>
          <w:rFonts w:asciiTheme="minorHAnsi" w:hAnsiTheme="minorHAnsi" w:cstheme="minorHAnsi"/>
          <w:b/>
          <w:i/>
          <w:sz w:val="22"/>
        </w:rPr>
        <w:t>budžetu</w:t>
      </w:r>
      <w:proofErr w:type="spellEnd"/>
      <w:r w:rsidR="00D6631E" w:rsidRPr="002E7F35">
        <w:rPr>
          <w:rFonts w:asciiTheme="minorHAnsi" w:hAnsiTheme="minorHAnsi" w:cstheme="minorHAnsi"/>
          <w:b/>
          <w:i/>
          <w:sz w:val="22"/>
        </w:rPr>
        <w:t xml:space="preserve"> </w:t>
      </w:r>
      <w:proofErr w:type="spellStart"/>
      <w:r w:rsidR="0073499B">
        <w:rPr>
          <w:rFonts w:asciiTheme="minorHAnsi" w:hAnsiTheme="minorHAnsi" w:cstheme="minorHAnsi"/>
          <w:b/>
          <w:i/>
          <w:sz w:val="22"/>
        </w:rPr>
        <w:t>su</w:t>
      </w:r>
      <w:proofErr w:type="spellEnd"/>
      <w:r w:rsidR="0073499B">
        <w:rPr>
          <w:rFonts w:asciiTheme="minorHAnsi" w:hAnsiTheme="minorHAnsi" w:cstheme="minorHAnsi"/>
          <w:b/>
          <w:i/>
          <w:sz w:val="22"/>
        </w:rPr>
        <w:t xml:space="preserve"> </w:t>
      </w:r>
      <w:proofErr w:type="spellStart"/>
      <w:r w:rsidR="0073499B">
        <w:rPr>
          <w:rFonts w:asciiTheme="minorHAnsi" w:hAnsiTheme="minorHAnsi" w:cstheme="minorHAnsi"/>
          <w:b/>
          <w:i/>
          <w:sz w:val="22"/>
        </w:rPr>
        <w:t>prilično</w:t>
      </w:r>
      <w:proofErr w:type="spellEnd"/>
      <w:r w:rsidR="0073499B">
        <w:rPr>
          <w:rFonts w:asciiTheme="minorHAnsi" w:hAnsiTheme="minorHAnsi" w:cstheme="minorHAnsi"/>
          <w:b/>
          <w:i/>
          <w:sz w:val="22"/>
        </w:rPr>
        <w:t xml:space="preserve"> </w:t>
      </w:r>
      <w:proofErr w:type="spellStart"/>
      <w:r w:rsidR="0073499B">
        <w:rPr>
          <w:rFonts w:asciiTheme="minorHAnsi" w:hAnsiTheme="minorHAnsi" w:cstheme="minorHAnsi"/>
          <w:b/>
          <w:i/>
          <w:sz w:val="22"/>
        </w:rPr>
        <w:t>visoki</w:t>
      </w:r>
      <w:proofErr w:type="spellEnd"/>
      <w:r w:rsidR="0073499B">
        <w:rPr>
          <w:rFonts w:asciiTheme="minorHAnsi" w:hAnsiTheme="minorHAnsi" w:cstheme="minorHAnsi"/>
          <w:b/>
          <w:i/>
          <w:sz w:val="22"/>
        </w:rPr>
        <w:t xml:space="preserve">, </w:t>
      </w:r>
      <w:proofErr w:type="spellStart"/>
      <w:r w:rsidR="0073499B">
        <w:rPr>
          <w:rFonts w:asciiTheme="minorHAnsi" w:hAnsiTheme="minorHAnsi" w:cstheme="minorHAnsi"/>
          <w:b/>
          <w:i/>
          <w:sz w:val="22"/>
        </w:rPr>
        <w:t>ili</w:t>
      </w:r>
      <w:proofErr w:type="spellEnd"/>
      <w:r w:rsidR="0073499B">
        <w:rPr>
          <w:rFonts w:asciiTheme="minorHAnsi" w:hAnsiTheme="minorHAnsi" w:cstheme="minorHAnsi"/>
          <w:b/>
          <w:i/>
          <w:sz w:val="22"/>
        </w:rPr>
        <w:t xml:space="preserve"> </w:t>
      </w:r>
      <w:proofErr w:type="spellStart"/>
      <w:r w:rsidR="0073499B">
        <w:rPr>
          <w:rFonts w:asciiTheme="minorHAnsi" w:hAnsiTheme="minorHAnsi" w:cstheme="minorHAnsi"/>
          <w:b/>
          <w:i/>
          <w:sz w:val="22"/>
        </w:rPr>
        <w:t>na</w:t>
      </w:r>
      <w:proofErr w:type="spellEnd"/>
      <w:r w:rsidR="0073499B">
        <w:rPr>
          <w:rFonts w:asciiTheme="minorHAnsi" w:hAnsiTheme="minorHAnsi" w:cstheme="minorHAnsi"/>
          <w:b/>
          <w:i/>
          <w:sz w:val="22"/>
        </w:rPr>
        <w:t xml:space="preserve"> </w:t>
      </w:r>
      <w:proofErr w:type="spellStart"/>
      <w:r w:rsidR="0073499B">
        <w:rPr>
          <w:rFonts w:asciiTheme="minorHAnsi" w:hAnsiTheme="minorHAnsi" w:cstheme="minorHAnsi"/>
          <w:b/>
          <w:i/>
          <w:sz w:val="22"/>
        </w:rPr>
        <w:t>nivou</w:t>
      </w:r>
      <w:proofErr w:type="spellEnd"/>
      <w:r w:rsidR="0073499B">
        <w:rPr>
          <w:rFonts w:asciiTheme="minorHAnsi" w:hAnsiTheme="minorHAnsi" w:cstheme="minorHAnsi"/>
          <w:b/>
          <w:i/>
          <w:sz w:val="22"/>
        </w:rPr>
        <w:t xml:space="preserve"> </w:t>
      </w:r>
      <w:proofErr w:type="spellStart"/>
      <w:r w:rsidR="0073499B">
        <w:rPr>
          <w:rFonts w:asciiTheme="minorHAnsi" w:hAnsiTheme="minorHAnsi" w:cstheme="minorHAnsi"/>
          <w:b/>
          <w:i/>
          <w:sz w:val="22"/>
        </w:rPr>
        <w:t>proseka</w:t>
      </w:r>
      <w:proofErr w:type="spellEnd"/>
      <w:r w:rsidR="0073499B">
        <w:rPr>
          <w:rFonts w:asciiTheme="minorHAnsi" w:hAnsiTheme="minorHAnsi" w:cstheme="minorHAnsi"/>
          <w:b/>
          <w:i/>
          <w:sz w:val="22"/>
        </w:rPr>
        <w:t xml:space="preserve"> </w:t>
      </w:r>
      <w:proofErr w:type="spellStart"/>
      <w:r w:rsidR="0073499B">
        <w:rPr>
          <w:rFonts w:asciiTheme="minorHAnsi" w:hAnsiTheme="minorHAnsi" w:cstheme="minorHAnsi"/>
          <w:b/>
          <w:i/>
          <w:sz w:val="22"/>
        </w:rPr>
        <w:t>ili</w:t>
      </w:r>
      <w:proofErr w:type="spellEnd"/>
      <w:r w:rsidR="0073499B">
        <w:rPr>
          <w:rFonts w:asciiTheme="minorHAnsi" w:hAnsiTheme="minorHAnsi" w:cstheme="minorHAnsi"/>
          <w:b/>
          <w:i/>
          <w:sz w:val="22"/>
        </w:rPr>
        <w:t xml:space="preserve"> </w:t>
      </w:r>
      <w:proofErr w:type="spellStart"/>
      <w:r w:rsidR="0073499B">
        <w:rPr>
          <w:rFonts w:asciiTheme="minorHAnsi" w:hAnsiTheme="minorHAnsi" w:cstheme="minorHAnsi"/>
          <w:b/>
          <w:i/>
          <w:sz w:val="22"/>
        </w:rPr>
        <w:t>iznad</w:t>
      </w:r>
      <w:proofErr w:type="spellEnd"/>
      <w:r w:rsidR="0073499B">
        <w:rPr>
          <w:rFonts w:asciiTheme="minorHAnsi" w:hAnsiTheme="minorHAnsi" w:cstheme="minorHAnsi"/>
          <w:b/>
          <w:i/>
          <w:sz w:val="22"/>
        </w:rPr>
        <w:t xml:space="preserve"> </w:t>
      </w:r>
      <w:proofErr w:type="spellStart"/>
      <w:r w:rsidR="0073499B">
        <w:rPr>
          <w:rFonts w:asciiTheme="minorHAnsi" w:hAnsiTheme="minorHAnsi" w:cstheme="minorHAnsi"/>
          <w:b/>
          <w:i/>
          <w:sz w:val="22"/>
        </w:rPr>
        <w:t>proseka</w:t>
      </w:r>
      <w:proofErr w:type="spellEnd"/>
      <w:r w:rsidR="0073499B">
        <w:rPr>
          <w:rFonts w:asciiTheme="minorHAnsi" w:hAnsiTheme="minorHAnsi" w:cstheme="minorHAnsi"/>
          <w:b/>
          <w:i/>
          <w:sz w:val="22"/>
        </w:rPr>
        <w:t xml:space="preserve"> </w:t>
      </w:r>
      <w:proofErr w:type="spellStart"/>
      <w:r w:rsidR="0073499B">
        <w:rPr>
          <w:rFonts w:asciiTheme="minorHAnsi" w:hAnsiTheme="minorHAnsi" w:cstheme="minorHAnsi"/>
          <w:b/>
          <w:i/>
          <w:sz w:val="22"/>
        </w:rPr>
        <w:t>uporedivih</w:t>
      </w:r>
      <w:proofErr w:type="spellEnd"/>
      <w:r w:rsidR="0073499B">
        <w:rPr>
          <w:rFonts w:asciiTheme="minorHAnsi" w:hAnsiTheme="minorHAnsi" w:cstheme="minorHAnsi"/>
          <w:b/>
          <w:i/>
          <w:sz w:val="22"/>
        </w:rPr>
        <w:t xml:space="preserve"> </w:t>
      </w:r>
      <w:proofErr w:type="spellStart"/>
      <w:r w:rsidR="0073499B">
        <w:rPr>
          <w:rFonts w:asciiTheme="minorHAnsi" w:hAnsiTheme="minorHAnsi" w:cstheme="minorHAnsi"/>
          <w:b/>
          <w:i/>
          <w:sz w:val="22"/>
        </w:rPr>
        <w:t>opština</w:t>
      </w:r>
      <w:proofErr w:type="spellEnd"/>
      <w:r w:rsidR="007E0B50">
        <w:rPr>
          <w:rFonts w:asciiTheme="minorHAnsi" w:hAnsiTheme="minorHAnsi" w:cstheme="minorHAnsi"/>
          <w:b/>
          <w:i/>
          <w:sz w:val="22"/>
        </w:rPr>
        <w:t xml:space="preserve"> </w:t>
      </w:r>
      <w:r w:rsidR="007E0B50">
        <w:rPr>
          <w:rFonts w:asciiTheme="minorHAnsi" w:hAnsiTheme="minorHAnsi" w:cstheme="minorHAnsi"/>
          <w:sz w:val="22"/>
        </w:rPr>
        <w:t xml:space="preserve">s </w:t>
      </w:r>
      <w:proofErr w:type="spellStart"/>
      <w:r w:rsidR="007E0B50">
        <w:rPr>
          <w:rFonts w:asciiTheme="minorHAnsi" w:hAnsiTheme="minorHAnsi" w:cstheme="minorHAnsi"/>
          <w:sz w:val="22"/>
        </w:rPr>
        <w:t>tim</w:t>
      </w:r>
      <w:proofErr w:type="spellEnd"/>
      <w:r w:rsidR="007E0B50">
        <w:rPr>
          <w:rFonts w:asciiTheme="minorHAnsi" w:hAnsiTheme="minorHAnsi" w:cstheme="minorHAnsi"/>
          <w:sz w:val="22"/>
        </w:rPr>
        <w:t xml:space="preserve"> </w:t>
      </w:r>
      <w:proofErr w:type="spellStart"/>
      <w:r w:rsidR="007E0B50">
        <w:rPr>
          <w:rFonts w:asciiTheme="minorHAnsi" w:hAnsiTheme="minorHAnsi" w:cstheme="minorHAnsi"/>
          <w:sz w:val="22"/>
        </w:rPr>
        <w:t>što</w:t>
      </w:r>
      <w:proofErr w:type="spellEnd"/>
      <w:r w:rsidR="007E0B50">
        <w:rPr>
          <w:rFonts w:asciiTheme="minorHAnsi" w:hAnsiTheme="minorHAnsi" w:cstheme="minorHAnsi"/>
          <w:sz w:val="22"/>
        </w:rPr>
        <w:t xml:space="preserve"> je </w:t>
      </w:r>
      <w:proofErr w:type="spellStart"/>
      <w:r w:rsidR="007E0B50">
        <w:rPr>
          <w:rFonts w:asciiTheme="minorHAnsi" w:hAnsiTheme="minorHAnsi" w:cstheme="minorHAnsi"/>
          <w:sz w:val="22"/>
        </w:rPr>
        <w:t>specifičnost</w:t>
      </w:r>
      <w:proofErr w:type="spellEnd"/>
      <w:r w:rsidR="007E0B50">
        <w:rPr>
          <w:rFonts w:asciiTheme="minorHAnsi" w:hAnsiTheme="minorHAnsi" w:cstheme="minorHAnsi"/>
          <w:sz w:val="22"/>
        </w:rPr>
        <w:t xml:space="preserve"> </w:t>
      </w:r>
      <w:proofErr w:type="spellStart"/>
      <w:r w:rsidR="007E0B50">
        <w:rPr>
          <w:rFonts w:asciiTheme="minorHAnsi" w:hAnsiTheme="minorHAnsi" w:cstheme="minorHAnsi"/>
          <w:sz w:val="22"/>
        </w:rPr>
        <w:t>Bača</w:t>
      </w:r>
      <w:proofErr w:type="spellEnd"/>
      <w:r w:rsidR="007E0B50">
        <w:rPr>
          <w:rFonts w:asciiTheme="minorHAnsi" w:hAnsiTheme="minorHAnsi" w:cstheme="minorHAnsi"/>
          <w:sz w:val="22"/>
        </w:rPr>
        <w:t xml:space="preserve"> </w:t>
      </w:r>
      <w:r w:rsidR="00C12EDD">
        <w:rPr>
          <w:rFonts w:asciiTheme="minorHAnsi" w:hAnsiTheme="minorHAnsi" w:cstheme="minorHAnsi"/>
          <w:sz w:val="22"/>
        </w:rPr>
        <w:t>da</w:t>
      </w:r>
      <w:r w:rsidR="007E0B50">
        <w:rPr>
          <w:rFonts w:asciiTheme="minorHAnsi" w:hAnsiTheme="minorHAnsi" w:cstheme="minorHAnsi"/>
          <w:sz w:val="22"/>
        </w:rPr>
        <w:t xml:space="preserve"> se </w:t>
      </w:r>
      <w:proofErr w:type="spellStart"/>
      <w:r w:rsidR="007E0B50">
        <w:rPr>
          <w:rFonts w:asciiTheme="minorHAnsi" w:hAnsiTheme="minorHAnsi" w:cstheme="minorHAnsi"/>
          <w:sz w:val="22"/>
        </w:rPr>
        <w:t>značajan</w:t>
      </w:r>
      <w:proofErr w:type="spellEnd"/>
      <w:r w:rsidR="007E0B50">
        <w:rPr>
          <w:rFonts w:asciiTheme="minorHAnsi" w:hAnsiTheme="minorHAnsi" w:cstheme="minorHAnsi"/>
          <w:sz w:val="22"/>
        </w:rPr>
        <w:t xml:space="preserve"> deo </w:t>
      </w:r>
      <w:proofErr w:type="spellStart"/>
      <w:r w:rsidR="007E0B50">
        <w:rPr>
          <w:rFonts w:asciiTheme="minorHAnsi" w:hAnsiTheme="minorHAnsi" w:cstheme="minorHAnsi"/>
          <w:sz w:val="22"/>
        </w:rPr>
        <w:t>budžeta</w:t>
      </w:r>
      <w:proofErr w:type="spellEnd"/>
      <w:r w:rsidR="007E0B50">
        <w:rPr>
          <w:rFonts w:asciiTheme="minorHAnsi" w:hAnsiTheme="minorHAnsi" w:cstheme="minorHAnsi"/>
          <w:sz w:val="22"/>
        </w:rPr>
        <w:t xml:space="preserve"> od </w:t>
      </w:r>
      <w:proofErr w:type="spellStart"/>
      <w:r w:rsidR="007E0B50">
        <w:rPr>
          <w:rFonts w:asciiTheme="minorHAnsi" w:hAnsiTheme="minorHAnsi" w:cstheme="minorHAnsi"/>
          <w:sz w:val="22"/>
        </w:rPr>
        <w:t>oko</w:t>
      </w:r>
      <w:proofErr w:type="spellEnd"/>
      <w:r w:rsidR="007E0B50">
        <w:rPr>
          <w:rFonts w:asciiTheme="minorHAnsi" w:hAnsiTheme="minorHAnsi" w:cstheme="minorHAnsi"/>
          <w:sz w:val="22"/>
        </w:rPr>
        <w:t xml:space="preserve"> 5% </w:t>
      </w:r>
      <w:proofErr w:type="spellStart"/>
      <w:r w:rsidR="007E0B50">
        <w:rPr>
          <w:rFonts w:asciiTheme="minorHAnsi" w:hAnsiTheme="minorHAnsi" w:cstheme="minorHAnsi"/>
          <w:sz w:val="22"/>
        </w:rPr>
        <w:t>korisiti</w:t>
      </w:r>
      <w:proofErr w:type="spellEnd"/>
      <w:r w:rsidR="007E0B50">
        <w:rPr>
          <w:rFonts w:asciiTheme="minorHAnsi" w:hAnsiTheme="minorHAnsi" w:cstheme="minorHAnsi"/>
          <w:sz w:val="22"/>
        </w:rPr>
        <w:t xml:space="preserve"> za </w:t>
      </w:r>
      <w:proofErr w:type="spellStart"/>
      <w:r w:rsidR="007E0B50">
        <w:rPr>
          <w:rFonts w:asciiTheme="minorHAnsi" w:hAnsiTheme="minorHAnsi" w:cstheme="minorHAnsi"/>
          <w:sz w:val="22"/>
        </w:rPr>
        <w:t>pomoćne</w:t>
      </w:r>
      <w:proofErr w:type="spellEnd"/>
      <w:r w:rsidR="007E0B50">
        <w:rPr>
          <w:rFonts w:asciiTheme="minorHAnsi" w:hAnsiTheme="minorHAnsi" w:cstheme="minorHAnsi"/>
          <w:sz w:val="22"/>
        </w:rPr>
        <w:t xml:space="preserve"> </w:t>
      </w:r>
      <w:proofErr w:type="spellStart"/>
      <w:r w:rsidR="007E0B50">
        <w:rPr>
          <w:rFonts w:asciiTheme="minorHAnsi" w:hAnsiTheme="minorHAnsi" w:cstheme="minorHAnsi"/>
          <w:sz w:val="22"/>
        </w:rPr>
        <w:t>usluge</w:t>
      </w:r>
      <w:proofErr w:type="spellEnd"/>
      <w:r w:rsidR="007E0B50">
        <w:rPr>
          <w:rFonts w:asciiTheme="minorHAnsi" w:hAnsiTheme="minorHAnsi" w:cstheme="minorHAnsi"/>
          <w:sz w:val="22"/>
        </w:rPr>
        <w:t xml:space="preserve"> u </w:t>
      </w:r>
      <w:proofErr w:type="spellStart"/>
      <w:r w:rsidR="007E0B50">
        <w:rPr>
          <w:rFonts w:asciiTheme="minorHAnsi" w:hAnsiTheme="minorHAnsi" w:cstheme="minorHAnsi"/>
          <w:sz w:val="22"/>
        </w:rPr>
        <w:t>obrazovanju</w:t>
      </w:r>
      <w:proofErr w:type="spellEnd"/>
      <w:r w:rsidR="007E0B50">
        <w:rPr>
          <w:rFonts w:asciiTheme="minorHAnsi" w:hAnsiTheme="minorHAnsi" w:cstheme="minorHAnsi"/>
          <w:sz w:val="22"/>
        </w:rPr>
        <w:t xml:space="preserve"> </w:t>
      </w:r>
      <w:proofErr w:type="spellStart"/>
      <w:r w:rsidR="007E0B50">
        <w:rPr>
          <w:rFonts w:asciiTheme="minorHAnsi" w:hAnsiTheme="minorHAnsi" w:cstheme="minorHAnsi"/>
          <w:sz w:val="22"/>
        </w:rPr>
        <w:t>i</w:t>
      </w:r>
      <w:proofErr w:type="spellEnd"/>
      <w:r w:rsidR="007E0B50">
        <w:rPr>
          <w:rFonts w:asciiTheme="minorHAnsi" w:hAnsiTheme="minorHAnsi" w:cstheme="minorHAnsi"/>
          <w:sz w:val="22"/>
        </w:rPr>
        <w:t xml:space="preserve"> </w:t>
      </w:r>
      <w:proofErr w:type="spellStart"/>
      <w:r w:rsidR="007E0B50">
        <w:rPr>
          <w:rFonts w:asciiTheme="minorHAnsi" w:hAnsiTheme="minorHAnsi" w:cstheme="minorHAnsi"/>
          <w:sz w:val="22"/>
        </w:rPr>
        <w:t>obrazovanje</w:t>
      </w:r>
      <w:proofErr w:type="spellEnd"/>
      <w:r w:rsidR="007E0B50">
        <w:rPr>
          <w:rFonts w:asciiTheme="minorHAnsi" w:hAnsiTheme="minorHAnsi" w:cstheme="minorHAnsi"/>
          <w:sz w:val="22"/>
        </w:rPr>
        <w:t xml:space="preserve"> </w:t>
      </w:r>
      <w:proofErr w:type="spellStart"/>
      <w:r w:rsidR="007E0B50">
        <w:rPr>
          <w:rFonts w:asciiTheme="minorHAnsi" w:hAnsiTheme="minorHAnsi" w:cstheme="minorHAnsi"/>
          <w:sz w:val="22"/>
        </w:rPr>
        <w:t>koje</w:t>
      </w:r>
      <w:proofErr w:type="spellEnd"/>
      <w:r w:rsidR="007E0B50">
        <w:rPr>
          <w:rFonts w:asciiTheme="minorHAnsi" w:hAnsiTheme="minorHAnsi" w:cstheme="minorHAnsi"/>
          <w:sz w:val="22"/>
        </w:rPr>
        <w:t xml:space="preserve"> </w:t>
      </w:r>
      <w:proofErr w:type="spellStart"/>
      <w:r w:rsidR="007E0B50">
        <w:rPr>
          <w:rFonts w:asciiTheme="minorHAnsi" w:hAnsiTheme="minorHAnsi" w:cstheme="minorHAnsi"/>
          <w:sz w:val="22"/>
        </w:rPr>
        <w:t>nije</w:t>
      </w:r>
      <w:proofErr w:type="spellEnd"/>
      <w:r w:rsidR="007E0B50">
        <w:rPr>
          <w:rFonts w:asciiTheme="minorHAnsi" w:hAnsiTheme="minorHAnsi" w:cstheme="minorHAnsi"/>
          <w:sz w:val="22"/>
        </w:rPr>
        <w:t xml:space="preserve"> </w:t>
      </w:r>
      <w:proofErr w:type="spellStart"/>
      <w:r w:rsidR="007E0B50">
        <w:rPr>
          <w:rFonts w:asciiTheme="minorHAnsi" w:hAnsiTheme="minorHAnsi" w:cstheme="minorHAnsi"/>
          <w:sz w:val="22"/>
        </w:rPr>
        <w:t>kalsifikovano</w:t>
      </w:r>
      <w:proofErr w:type="spellEnd"/>
      <w:r w:rsidR="007E0B50">
        <w:rPr>
          <w:rFonts w:asciiTheme="minorHAnsi" w:hAnsiTheme="minorHAnsi" w:cstheme="minorHAnsi"/>
          <w:sz w:val="22"/>
        </w:rPr>
        <w:t xml:space="preserve"> </w:t>
      </w:r>
      <w:proofErr w:type="spellStart"/>
      <w:r w:rsidR="007E0B50">
        <w:rPr>
          <w:rFonts w:asciiTheme="minorHAnsi" w:hAnsiTheme="minorHAnsi" w:cstheme="minorHAnsi"/>
          <w:sz w:val="22"/>
        </w:rPr>
        <w:t>na</w:t>
      </w:r>
      <w:proofErr w:type="spellEnd"/>
      <w:r w:rsidR="007E0B50">
        <w:rPr>
          <w:rFonts w:asciiTheme="minorHAnsi" w:hAnsiTheme="minorHAnsi" w:cstheme="minorHAnsi"/>
          <w:sz w:val="22"/>
        </w:rPr>
        <w:t xml:space="preserve"> </w:t>
      </w:r>
      <w:proofErr w:type="spellStart"/>
      <w:r w:rsidR="007E0B50">
        <w:rPr>
          <w:rFonts w:asciiTheme="minorHAnsi" w:hAnsiTheme="minorHAnsi" w:cstheme="minorHAnsi"/>
          <w:sz w:val="22"/>
        </w:rPr>
        <w:t>drugom</w:t>
      </w:r>
      <w:proofErr w:type="spellEnd"/>
      <w:r w:rsidR="007E0B50">
        <w:rPr>
          <w:rFonts w:asciiTheme="minorHAnsi" w:hAnsiTheme="minorHAnsi" w:cstheme="minorHAnsi"/>
          <w:sz w:val="22"/>
        </w:rPr>
        <w:t xml:space="preserve"> </w:t>
      </w:r>
      <w:proofErr w:type="spellStart"/>
      <w:r w:rsidR="007E0B50">
        <w:rPr>
          <w:rFonts w:asciiTheme="minorHAnsi" w:hAnsiTheme="minorHAnsi" w:cstheme="minorHAnsi"/>
          <w:sz w:val="22"/>
        </w:rPr>
        <w:t>mestu</w:t>
      </w:r>
      <w:proofErr w:type="spellEnd"/>
      <w:r w:rsidR="007E0B50">
        <w:rPr>
          <w:rFonts w:asciiTheme="minorHAnsi" w:hAnsiTheme="minorHAnsi" w:cstheme="minorHAnsi"/>
          <w:sz w:val="22"/>
        </w:rPr>
        <w:t xml:space="preserve">. </w:t>
      </w:r>
      <w:proofErr w:type="spellStart"/>
      <w:r w:rsidR="007E0B50">
        <w:rPr>
          <w:rFonts w:asciiTheme="minorHAnsi" w:hAnsiTheme="minorHAnsi" w:cstheme="minorHAnsi"/>
          <w:sz w:val="22"/>
        </w:rPr>
        <w:t>Kada</w:t>
      </w:r>
      <w:proofErr w:type="spellEnd"/>
      <w:r w:rsidR="007E0B50">
        <w:rPr>
          <w:rFonts w:asciiTheme="minorHAnsi" w:hAnsiTheme="minorHAnsi" w:cstheme="minorHAnsi"/>
          <w:sz w:val="22"/>
        </w:rPr>
        <w:t xml:space="preserve"> </w:t>
      </w:r>
      <w:proofErr w:type="spellStart"/>
      <w:r w:rsidR="007E0B50">
        <w:rPr>
          <w:rFonts w:asciiTheme="minorHAnsi" w:hAnsiTheme="minorHAnsi" w:cstheme="minorHAnsi"/>
          <w:sz w:val="22"/>
        </w:rPr>
        <w:t>gledamo</w:t>
      </w:r>
      <w:proofErr w:type="spellEnd"/>
      <w:r w:rsidR="007E0B50">
        <w:rPr>
          <w:rFonts w:asciiTheme="minorHAnsi" w:hAnsiTheme="minorHAnsi" w:cstheme="minorHAnsi"/>
          <w:sz w:val="22"/>
        </w:rPr>
        <w:t xml:space="preserve"> </w:t>
      </w:r>
      <w:proofErr w:type="spellStart"/>
      <w:r w:rsidR="00C12EDD">
        <w:rPr>
          <w:rFonts w:asciiTheme="minorHAnsi" w:hAnsiTheme="minorHAnsi" w:cstheme="minorHAnsi"/>
          <w:sz w:val="22"/>
        </w:rPr>
        <w:t>rashode</w:t>
      </w:r>
      <w:proofErr w:type="spellEnd"/>
      <w:r w:rsidR="00C12EDD">
        <w:rPr>
          <w:rFonts w:asciiTheme="minorHAnsi" w:hAnsiTheme="minorHAnsi" w:cstheme="minorHAnsi"/>
          <w:sz w:val="22"/>
        </w:rPr>
        <w:t xml:space="preserve"> </w:t>
      </w:r>
      <w:proofErr w:type="spellStart"/>
      <w:r w:rsidR="007E0B50">
        <w:rPr>
          <w:rFonts w:asciiTheme="minorHAnsi" w:hAnsiTheme="minorHAnsi" w:cstheme="minorHAnsi"/>
          <w:sz w:val="22"/>
        </w:rPr>
        <w:t>prema</w:t>
      </w:r>
      <w:proofErr w:type="spellEnd"/>
      <w:r w:rsidR="007E0B50">
        <w:rPr>
          <w:rFonts w:asciiTheme="minorHAnsi" w:hAnsiTheme="minorHAnsi" w:cstheme="minorHAnsi"/>
          <w:sz w:val="22"/>
        </w:rPr>
        <w:t xml:space="preserve"> </w:t>
      </w:r>
      <w:proofErr w:type="spellStart"/>
      <w:r w:rsidR="007E0B50">
        <w:rPr>
          <w:rFonts w:asciiTheme="minorHAnsi" w:hAnsiTheme="minorHAnsi" w:cstheme="minorHAnsi"/>
          <w:sz w:val="22"/>
        </w:rPr>
        <w:t>nivoim</w:t>
      </w:r>
      <w:proofErr w:type="spellEnd"/>
      <w:r w:rsidR="007E0B50">
        <w:rPr>
          <w:rFonts w:asciiTheme="minorHAnsi" w:hAnsiTheme="minorHAnsi" w:cstheme="minorHAnsi"/>
          <w:sz w:val="22"/>
        </w:rPr>
        <w:t xml:space="preserve"> </w:t>
      </w:r>
      <w:proofErr w:type="spellStart"/>
      <w:r w:rsidR="007E0B50">
        <w:rPr>
          <w:rFonts w:asciiTheme="minorHAnsi" w:hAnsiTheme="minorHAnsi" w:cstheme="minorHAnsi"/>
          <w:sz w:val="22"/>
        </w:rPr>
        <w:t>obrazovanja</w:t>
      </w:r>
      <w:proofErr w:type="spellEnd"/>
      <w:r w:rsidR="007E0B50">
        <w:rPr>
          <w:rFonts w:asciiTheme="minorHAnsi" w:hAnsiTheme="minorHAnsi" w:cstheme="minorHAnsi"/>
          <w:sz w:val="22"/>
        </w:rPr>
        <w:t xml:space="preserve">, </w:t>
      </w:r>
      <w:proofErr w:type="spellStart"/>
      <w:r w:rsidR="00C12EDD">
        <w:rPr>
          <w:rFonts w:asciiTheme="minorHAnsi" w:hAnsiTheme="minorHAnsi" w:cstheme="minorHAnsi"/>
          <w:sz w:val="22"/>
        </w:rPr>
        <w:t>oni</w:t>
      </w:r>
      <w:proofErr w:type="spellEnd"/>
      <w:r w:rsidR="007E0B50">
        <w:rPr>
          <w:rFonts w:asciiTheme="minorHAnsi" w:hAnsiTheme="minorHAnsi" w:cstheme="minorHAnsi"/>
          <w:sz w:val="22"/>
        </w:rPr>
        <w:t xml:space="preserve"> </w:t>
      </w:r>
      <w:proofErr w:type="spellStart"/>
      <w:r w:rsidR="007E0B50">
        <w:rPr>
          <w:rFonts w:asciiTheme="minorHAnsi" w:hAnsiTheme="minorHAnsi" w:cstheme="minorHAnsi"/>
          <w:sz w:val="22"/>
        </w:rPr>
        <w:t>su</w:t>
      </w:r>
      <w:proofErr w:type="spellEnd"/>
      <w:r w:rsidR="007E0B50">
        <w:rPr>
          <w:rFonts w:asciiTheme="minorHAnsi" w:hAnsiTheme="minorHAnsi" w:cstheme="minorHAnsi"/>
          <w:sz w:val="22"/>
        </w:rPr>
        <w:t xml:space="preserve"> u </w:t>
      </w:r>
      <w:proofErr w:type="spellStart"/>
      <w:r w:rsidR="007E0B50">
        <w:rPr>
          <w:rFonts w:asciiTheme="minorHAnsi" w:hAnsiTheme="minorHAnsi" w:cstheme="minorHAnsi"/>
          <w:sz w:val="22"/>
        </w:rPr>
        <w:t>relativnom</w:t>
      </w:r>
      <w:proofErr w:type="spellEnd"/>
      <w:r w:rsidR="007E0B50">
        <w:rPr>
          <w:rFonts w:asciiTheme="minorHAnsi" w:hAnsiTheme="minorHAnsi" w:cstheme="minorHAnsi"/>
          <w:sz w:val="22"/>
        </w:rPr>
        <w:t xml:space="preserve"> </w:t>
      </w:r>
      <w:proofErr w:type="spellStart"/>
      <w:r w:rsidR="007E0B50">
        <w:rPr>
          <w:rFonts w:asciiTheme="minorHAnsi" w:hAnsiTheme="minorHAnsi" w:cstheme="minorHAnsi"/>
          <w:sz w:val="22"/>
        </w:rPr>
        <w:t>smislu</w:t>
      </w:r>
      <w:proofErr w:type="spellEnd"/>
      <w:r w:rsidR="007E0B50">
        <w:rPr>
          <w:rFonts w:asciiTheme="minorHAnsi" w:hAnsiTheme="minorHAnsi" w:cstheme="minorHAnsi"/>
          <w:sz w:val="22"/>
        </w:rPr>
        <w:t xml:space="preserve"> </w:t>
      </w:r>
      <w:proofErr w:type="spellStart"/>
      <w:r w:rsidR="007E0B50">
        <w:rPr>
          <w:rFonts w:asciiTheme="minorHAnsi" w:hAnsiTheme="minorHAnsi" w:cstheme="minorHAnsi"/>
          <w:sz w:val="22"/>
        </w:rPr>
        <w:t>nešto</w:t>
      </w:r>
      <w:proofErr w:type="spellEnd"/>
      <w:r w:rsidR="007E0B50">
        <w:rPr>
          <w:rFonts w:asciiTheme="minorHAnsi" w:hAnsiTheme="minorHAnsi" w:cstheme="minorHAnsi"/>
          <w:sz w:val="22"/>
        </w:rPr>
        <w:t xml:space="preserve"> </w:t>
      </w:r>
      <w:proofErr w:type="spellStart"/>
      <w:r w:rsidR="007E0B50">
        <w:rPr>
          <w:rFonts w:asciiTheme="minorHAnsi" w:hAnsiTheme="minorHAnsi" w:cstheme="minorHAnsi"/>
          <w:sz w:val="22"/>
        </w:rPr>
        <w:t>niži</w:t>
      </w:r>
      <w:proofErr w:type="spellEnd"/>
      <w:r w:rsidR="007E0B50">
        <w:rPr>
          <w:rFonts w:asciiTheme="minorHAnsi" w:hAnsiTheme="minorHAnsi" w:cstheme="minorHAnsi"/>
          <w:sz w:val="22"/>
        </w:rPr>
        <w:t xml:space="preserve"> </w:t>
      </w:r>
      <w:proofErr w:type="spellStart"/>
      <w:r w:rsidR="007E0B50">
        <w:rPr>
          <w:rFonts w:asciiTheme="minorHAnsi" w:hAnsiTheme="minorHAnsi" w:cstheme="minorHAnsi"/>
          <w:sz w:val="22"/>
        </w:rPr>
        <w:t>od</w:t>
      </w:r>
      <w:proofErr w:type="spellEnd"/>
      <w:r w:rsidR="007E0B50">
        <w:rPr>
          <w:rFonts w:asciiTheme="minorHAnsi" w:hAnsiTheme="minorHAnsi" w:cstheme="minorHAnsi"/>
          <w:sz w:val="22"/>
        </w:rPr>
        <w:t xml:space="preserve"> </w:t>
      </w:r>
      <w:proofErr w:type="spellStart"/>
      <w:r w:rsidR="007E0B50">
        <w:rPr>
          <w:rFonts w:asciiTheme="minorHAnsi" w:hAnsiTheme="minorHAnsi" w:cstheme="minorHAnsi"/>
          <w:sz w:val="22"/>
        </w:rPr>
        <w:t>prosek</w:t>
      </w:r>
      <w:proofErr w:type="spellEnd"/>
      <w:r w:rsidR="007E0B50">
        <w:rPr>
          <w:rFonts w:asciiTheme="minorHAnsi" w:hAnsiTheme="minorHAnsi" w:cstheme="minorHAnsi"/>
          <w:sz w:val="22"/>
        </w:rPr>
        <w:t xml:space="preserve"> za </w:t>
      </w:r>
      <w:proofErr w:type="spellStart"/>
      <w:r w:rsidR="007E0B50">
        <w:rPr>
          <w:rFonts w:asciiTheme="minorHAnsi" w:hAnsiTheme="minorHAnsi" w:cstheme="minorHAnsi"/>
          <w:sz w:val="22"/>
        </w:rPr>
        <w:t>uporedive</w:t>
      </w:r>
      <w:proofErr w:type="spellEnd"/>
      <w:r w:rsidR="007E0B50">
        <w:rPr>
          <w:rFonts w:asciiTheme="minorHAnsi" w:hAnsiTheme="minorHAnsi" w:cstheme="minorHAnsi"/>
          <w:sz w:val="22"/>
        </w:rPr>
        <w:t xml:space="preserve"> </w:t>
      </w:r>
      <w:proofErr w:type="spellStart"/>
      <w:r w:rsidR="007E0B50">
        <w:rPr>
          <w:rFonts w:asciiTheme="minorHAnsi" w:hAnsiTheme="minorHAnsi" w:cstheme="minorHAnsi"/>
          <w:sz w:val="22"/>
        </w:rPr>
        <w:t>opštine</w:t>
      </w:r>
      <w:proofErr w:type="spellEnd"/>
      <w:r w:rsidR="00093DA7">
        <w:rPr>
          <w:rFonts w:asciiTheme="minorHAnsi" w:hAnsiTheme="minorHAnsi" w:cstheme="minorHAnsi"/>
          <w:sz w:val="22"/>
        </w:rPr>
        <w:t>.</w:t>
      </w:r>
      <w:r w:rsidR="0073499B">
        <w:rPr>
          <w:rFonts w:asciiTheme="minorHAnsi" w:hAnsiTheme="minorHAnsi" w:cstheme="minorHAnsi"/>
          <w:b/>
          <w:i/>
          <w:sz w:val="22"/>
        </w:rPr>
        <w:t xml:space="preserve"> </w:t>
      </w:r>
      <w:r w:rsidR="000B62D6">
        <w:rPr>
          <w:rFonts w:asciiTheme="minorHAnsi" w:hAnsiTheme="minorHAnsi" w:cstheme="minorHAnsi"/>
          <w:b/>
          <w:i/>
          <w:sz w:val="22"/>
        </w:rPr>
        <w:t xml:space="preserve"> </w:t>
      </w:r>
    </w:p>
    <w:p w14:paraId="14179945" w14:textId="685FA53C" w:rsidR="008A42F1" w:rsidRDefault="008A42F1" w:rsidP="00F05400">
      <w:pPr>
        <w:spacing w:line="276" w:lineRule="auto"/>
        <w:jc w:val="both"/>
        <w:rPr>
          <w:rFonts w:asciiTheme="minorHAnsi" w:hAnsiTheme="minorHAnsi" w:cstheme="minorHAnsi"/>
          <w:b/>
          <w:sz w:val="22"/>
        </w:rPr>
      </w:pPr>
    </w:p>
    <w:p w14:paraId="3852DF57" w14:textId="3E3EA323" w:rsidR="008A42F1" w:rsidRPr="00F31D38" w:rsidRDefault="008A42F1" w:rsidP="00F05400">
      <w:pPr>
        <w:spacing w:line="276" w:lineRule="auto"/>
        <w:jc w:val="both"/>
        <w:rPr>
          <w:rFonts w:ascii="Cambria" w:hAnsi="Cambria" w:cstheme="minorHAnsi"/>
          <w:b/>
          <w:sz w:val="22"/>
        </w:rPr>
      </w:pPr>
      <w:proofErr w:type="spellStart"/>
      <w:r w:rsidRPr="00F31D38">
        <w:rPr>
          <w:rFonts w:ascii="Cambria" w:hAnsi="Cambria" w:cstheme="minorHAnsi"/>
          <w:b/>
          <w:sz w:val="22"/>
        </w:rPr>
        <w:t>Tabela</w:t>
      </w:r>
      <w:proofErr w:type="spellEnd"/>
      <w:r w:rsidRPr="00F31D38">
        <w:rPr>
          <w:rFonts w:ascii="Cambria" w:hAnsi="Cambria" w:cstheme="minorHAnsi"/>
          <w:b/>
          <w:sz w:val="22"/>
        </w:rPr>
        <w:t xml:space="preserve"> 1. </w:t>
      </w:r>
      <w:proofErr w:type="spellStart"/>
      <w:r w:rsidRPr="00F31D38">
        <w:rPr>
          <w:rFonts w:ascii="Cambria" w:hAnsi="Cambria" w:cstheme="minorHAnsi"/>
          <w:b/>
          <w:sz w:val="22"/>
        </w:rPr>
        <w:t>Rashodi</w:t>
      </w:r>
      <w:proofErr w:type="spellEnd"/>
      <w:r w:rsidRPr="00F31D38">
        <w:rPr>
          <w:rFonts w:ascii="Cambria" w:hAnsi="Cambria" w:cstheme="minorHAnsi"/>
          <w:b/>
          <w:sz w:val="22"/>
        </w:rPr>
        <w:t xml:space="preserve"> za </w:t>
      </w:r>
      <w:proofErr w:type="spellStart"/>
      <w:r w:rsidRPr="00F31D38">
        <w:rPr>
          <w:rFonts w:ascii="Cambria" w:hAnsi="Cambria" w:cstheme="minorHAnsi"/>
          <w:b/>
          <w:sz w:val="22"/>
        </w:rPr>
        <w:t>obrazovanje</w:t>
      </w:r>
      <w:proofErr w:type="spellEnd"/>
      <w:r w:rsidRPr="00F31D38">
        <w:rPr>
          <w:rFonts w:ascii="Cambria" w:hAnsi="Cambria" w:cstheme="minorHAnsi"/>
          <w:b/>
          <w:sz w:val="22"/>
        </w:rPr>
        <w:t xml:space="preserve"> – </w:t>
      </w:r>
      <w:proofErr w:type="spellStart"/>
      <w:r w:rsidRPr="00F31D38">
        <w:rPr>
          <w:rFonts w:ascii="Cambria" w:hAnsi="Cambria" w:cstheme="minorHAnsi"/>
          <w:b/>
          <w:sz w:val="22"/>
        </w:rPr>
        <w:t>ukupno</w:t>
      </w:r>
      <w:proofErr w:type="spellEnd"/>
      <w:r w:rsidRPr="00F31D38">
        <w:rPr>
          <w:rFonts w:ascii="Cambria" w:hAnsi="Cambria" w:cstheme="minorHAnsi"/>
          <w:b/>
          <w:sz w:val="22"/>
        </w:rPr>
        <w:t xml:space="preserve"> </w:t>
      </w:r>
      <w:proofErr w:type="spellStart"/>
      <w:r w:rsidRPr="00F31D38">
        <w:rPr>
          <w:rFonts w:ascii="Cambria" w:hAnsi="Cambria" w:cstheme="minorHAnsi"/>
          <w:b/>
          <w:sz w:val="22"/>
        </w:rPr>
        <w:t>i</w:t>
      </w:r>
      <w:proofErr w:type="spellEnd"/>
      <w:r w:rsidRPr="00F31D38">
        <w:rPr>
          <w:rFonts w:ascii="Cambria" w:hAnsi="Cambria" w:cstheme="minorHAnsi"/>
          <w:b/>
          <w:sz w:val="22"/>
        </w:rPr>
        <w:t xml:space="preserve"> po </w:t>
      </w:r>
      <w:proofErr w:type="spellStart"/>
      <w:r w:rsidRPr="00F31D38">
        <w:rPr>
          <w:rFonts w:ascii="Cambria" w:hAnsi="Cambria" w:cstheme="minorHAnsi"/>
          <w:b/>
          <w:sz w:val="22"/>
        </w:rPr>
        <w:t>nivoima</w:t>
      </w:r>
      <w:proofErr w:type="spellEnd"/>
      <w:r w:rsidRPr="00F31D38">
        <w:rPr>
          <w:rFonts w:ascii="Cambria" w:hAnsi="Cambria" w:cstheme="minorHAnsi"/>
          <w:b/>
          <w:sz w:val="22"/>
        </w:rPr>
        <w:t xml:space="preserve"> </w:t>
      </w:r>
      <w:proofErr w:type="spellStart"/>
      <w:r w:rsidRPr="00F31D38">
        <w:rPr>
          <w:rFonts w:ascii="Cambria" w:hAnsi="Cambria" w:cstheme="minorHAnsi"/>
          <w:b/>
          <w:sz w:val="22"/>
        </w:rPr>
        <w:t>obrazovanja</w:t>
      </w:r>
      <w:proofErr w:type="spellEnd"/>
      <w:r w:rsidRPr="00F31D38">
        <w:rPr>
          <w:rFonts w:ascii="Cambria" w:hAnsi="Cambria" w:cstheme="minorHAnsi"/>
          <w:b/>
          <w:sz w:val="22"/>
        </w:rPr>
        <w:t xml:space="preserve"> (% </w:t>
      </w:r>
      <w:proofErr w:type="spellStart"/>
      <w:r w:rsidRPr="00F31D38">
        <w:rPr>
          <w:rFonts w:ascii="Cambria" w:hAnsi="Cambria" w:cstheme="minorHAnsi"/>
          <w:b/>
          <w:sz w:val="22"/>
        </w:rPr>
        <w:t>od</w:t>
      </w:r>
      <w:proofErr w:type="spellEnd"/>
      <w:r w:rsidRPr="00F31D38">
        <w:rPr>
          <w:rFonts w:ascii="Cambria" w:hAnsi="Cambria" w:cstheme="minorHAnsi"/>
          <w:b/>
          <w:sz w:val="22"/>
        </w:rPr>
        <w:t xml:space="preserve"> </w:t>
      </w:r>
      <w:proofErr w:type="spellStart"/>
      <w:r w:rsidRPr="00F31D38">
        <w:rPr>
          <w:rFonts w:ascii="Cambria" w:hAnsi="Cambria" w:cstheme="minorHAnsi"/>
          <w:b/>
          <w:sz w:val="22"/>
        </w:rPr>
        <w:t>ukupnog</w:t>
      </w:r>
      <w:proofErr w:type="spellEnd"/>
      <w:r w:rsidRPr="00F31D38">
        <w:rPr>
          <w:rFonts w:ascii="Cambria" w:hAnsi="Cambria" w:cstheme="minorHAnsi"/>
          <w:b/>
          <w:sz w:val="22"/>
        </w:rPr>
        <w:t xml:space="preserve"> </w:t>
      </w:r>
      <w:proofErr w:type="spellStart"/>
      <w:r w:rsidRPr="00F31D38">
        <w:rPr>
          <w:rFonts w:ascii="Cambria" w:hAnsi="Cambria" w:cstheme="minorHAnsi"/>
          <w:b/>
          <w:sz w:val="22"/>
        </w:rPr>
        <w:t>budžeta</w:t>
      </w:r>
      <w:proofErr w:type="spellEnd"/>
      <w:r w:rsidRPr="00F31D38">
        <w:rPr>
          <w:rFonts w:ascii="Cambria" w:hAnsi="Cambria" w:cstheme="minorHAnsi"/>
          <w:b/>
          <w:sz w:val="22"/>
        </w:rPr>
        <w:t>)</w:t>
      </w:r>
    </w:p>
    <w:p w14:paraId="7FF51E8A" w14:textId="56E05FEF" w:rsidR="00F05400" w:rsidRPr="0073499B" w:rsidRDefault="0073499B" w:rsidP="00F05400">
      <w:pPr>
        <w:rPr>
          <w:rFonts w:ascii="Calibri" w:hAnsi="Calibri" w:cs="Calibri"/>
          <w:b/>
          <w:bCs/>
          <w:color w:val="000000"/>
        </w:rPr>
      </w:pPr>
      <w:r w:rsidRPr="0073499B">
        <w:rPr>
          <w:rFonts w:ascii="Calibri" w:hAnsi="Calibri" w:cs="Calibri"/>
          <w:b/>
          <w:bCs/>
          <w:noProof/>
          <w:color w:val="000000"/>
        </w:rPr>
        <w:drawing>
          <wp:inline distT="0" distB="0" distL="0" distR="0" wp14:anchorId="077658D1" wp14:editId="4C5DE76C">
            <wp:extent cx="5943600" cy="11563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156335"/>
                    </a:xfrm>
                    <a:prstGeom prst="rect">
                      <a:avLst/>
                    </a:prstGeom>
                  </pic:spPr>
                </pic:pic>
              </a:graphicData>
            </a:graphic>
          </wp:inline>
        </w:drawing>
      </w:r>
    </w:p>
    <w:p w14:paraId="7AFD1315" w14:textId="3EAD1020" w:rsidR="008A42F1" w:rsidRDefault="008A42F1" w:rsidP="008A42F1">
      <w:pPr>
        <w:rPr>
          <w:rFonts w:asciiTheme="minorHAnsi" w:hAnsiTheme="minorHAnsi"/>
          <w:sz w:val="18"/>
          <w:szCs w:val="18"/>
        </w:rPr>
      </w:pPr>
      <w:proofErr w:type="spellStart"/>
      <w:r w:rsidRPr="002D6D78">
        <w:rPr>
          <w:rFonts w:asciiTheme="minorHAnsi" w:hAnsiTheme="minorHAnsi"/>
          <w:sz w:val="18"/>
          <w:szCs w:val="18"/>
        </w:rPr>
        <w:t>Izvor</w:t>
      </w:r>
      <w:proofErr w:type="spellEnd"/>
      <w:r w:rsidRPr="002D6D78">
        <w:rPr>
          <w:rFonts w:asciiTheme="minorHAnsi" w:hAnsiTheme="minorHAnsi"/>
          <w:sz w:val="18"/>
          <w:szCs w:val="18"/>
        </w:rPr>
        <w:t xml:space="preserve">: </w:t>
      </w:r>
      <w:r>
        <w:rPr>
          <w:rFonts w:asciiTheme="minorHAnsi" w:hAnsiTheme="minorHAnsi"/>
          <w:sz w:val="18"/>
          <w:szCs w:val="18"/>
        </w:rPr>
        <w:t>SKGO</w:t>
      </w:r>
    </w:p>
    <w:p w14:paraId="0CFA0475" w14:textId="77777777" w:rsidR="002A5868" w:rsidRDefault="002A5868" w:rsidP="002A5868">
      <w:pPr>
        <w:rPr>
          <w:rFonts w:asciiTheme="minorHAnsi" w:hAnsiTheme="minorHAnsi"/>
          <w:b/>
          <w:smallCaps/>
          <w:sz w:val="28"/>
          <w:szCs w:val="28"/>
        </w:rPr>
      </w:pPr>
    </w:p>
    <w:p w14:paraId="4B57D610" w14:textId="78CD3EAB" w:rsidR="00A35190" w:rsidRDefault="00A35190" w:rsidP="002A5868">
      <w:pPr>
        <w:rPr>
          <w:rFonts w:asciiTheme="minorHAnsi" w:hAnsiTheme="minorHAnsi"/>
          <w:b/>
          <w:smallCaps/>
          <w:sz w:val="28"/>
          <w:szCs w:val="28"/>
        </w:rPr>
      </w:pPr>
    </w:p>
    <w:p w14:paraId="74EA2712" w14:textId="77777777" w:rsidR="00604ACF" w:rsidRDefault="00604ACF" w:rsidP="002A5868">
      <w:pPr>
        <w:rPr>
          <w:rFonts w:asciiTheme="minorHAnsi" w:hAnsiTheme="minorHAnsi"/>
          <w:b/>
          <w:smallCaps/>
          <w:sz w:val="28"/>
          <w:szCs w:val="28"/>
        </w:rPr>
      </w:pPr>
    </w:p>
    <w:p w14:paraId="1112B16E" w14:textId="77777777" w:rsidR="00CB1688" w:rsidRDefault="00CB1688" w:rsidP="002A5868">
      <w:pPr>
        <w:rPr>
          <w:rFonts w:asciiTheme="minorHAnsi" w:hAnsiTheme="minorHAnsi"/>
          <w:b/>
          <w:smallCaps/>
          <w:sz w:val="28"/>
          <w:szCs w:val="28"/>
        </w:rPr>
      </w:pPr>
    </w:p>
    <w:p w14:paraId="7133A228" w14:textId="7152D06C" w:rsidR="00F05400" w:rsidRPr="002A5868" w:rsidRDefault="00F05400" w:rsidP="002A5868">
      <w:pPr>
        <w:rPr>
          <w:rFonts w:asciiTheme="minorHAnsi" w:hAnsiTheme="minorHAnsi"/>
          <w:b/>
          <w:smallCaps/>
          <w:sz w:val="28"/>
          <w:szCs w:val="28"/>
        </w:rPr>
      </w:pPr>
      <w:proofErr w:type="spellStart"/>
      <w:r>
        <w:rPr>
          <w:rFonts w:asciiTheme="minorHAnsi" w:hAnsiTheme="minorHAnsi"/>
          <w:b/>
          <w:smallCaps/>
          <w:sz w:val="28"/>
          <w:szCs w:val="28"/>
        </w:rPr>
        <w:lastRenderedPageBreak/>
        <w:t>Strateška</w:t>
      </w:r>
      <w:proofErr w:type="spellEnd"/>
      <w:r>
        <w:rPr>
          <w:rFonts w:asciiTheme="minorHAnsi" w:hAnsiTheme="minorHAnsi"/>
          <w:b/>
          <w:smallCaps/>
          <w:sz w:val="28"/>
          <w:szCs w:val="28"/>
        </w:rPr>
        <w:t xml:space="preserve"> </w:t>
      </w:r>
      <w:proofErr w:type="spellStart"/>
      <w:r>
        <w:rPr>
          <w:rFonts w:asciiTheme="minorHAnsi" w:hAnsiTheme="minorHAnsi"/>
          <w:b/>
          <w:smallCaps/>
          <w:sz w:val="28"/>
          <w:szCs w:val="28"/>
        </w:rPr>
        <w:t>orijentacija</w:t>
      </w:r>
      <w:proofErr w:type="spellEnd"/>
      <w:r>
        <w:rPr>
          <w:rFonts w:asciiTheme="minorHAnsi" w:hAnsiTheme="minorHAnsi"/>
          <w:b/>
          <w:smallCaps/>
          <w:sz w:val="28"/>
          <w:szCs w:val="28"/>
        </w:rPr>
        <w:t xml:space="preserve"> </w:t>
      </w:r>
      <w:proofErr w:type="spellStart"/>
      <w:r>
        <w:rPr>
          <w:rFonts w:asciiTheme="minorHAnsi" w:hAnsiTheme="minorHAnsi"/>
          <w:b/>
          <w:smallCaps/>
          <w:sz w:val="28"/>
          <w:szCs w:val="28"/>
        </w:rPr>
        <w:t>i</w:t>
      </w:r>
      <w:proofErr w:type="spellEnd"/>
      <w:r>
        <w:rPr>
          <w:rFonts w:asciiTheme="minorHAnsi" w:hAnsiTheme="minorHAnsi"/>
          <w:b/>
          <w:smallCaps/>
          <w:sz w:val="28"/>
          <w:szCs w:val="28"/>
        </w:rPr>
        <w:t xml:space="preserve"> </w:t>
      </w:r>
      <w:proofErr w:type="spellStart"/>
      <w:r>
        <w:rPr>
          <w:rFonts w:asciiTheme="minorHAnsi" w:hAnsiTheme="minorHAnsi"/>
          <w:b/>
          <w:smallCaps/>
          <w:sz w:val="28"/>
          <w:szCs w:val="28"/>
        </w:rPr>
        <w:t>ishodi</w:t>
      </w:r>
      <w:proofErr w:type="spellEnd"/>
      <w:r>
        <w:rPr>
          <w:rFonts w:asciiTheme="minorHAnsi" w:hAnsiTheme="minorHAnsi"/>
          <w:b/>
          <w:smallCaps/>
          <w:sz w:val="28"/>
          <w:szCs w:val="28"/>
        </w:rPr>
        <w:t xml:space="preserve"> u </w:t>
      </w:r>
      <w:proofErr w:type="spellStart"/>
      <w:r>
        <w:rPr>
          <w:rFonts w:asciiTheme="minorHAnsi" w:hAnsiTheme="minorHAnsi"/>
          <w:b/>
          <w:smallCaps/>
          <w:sz w:val="28"/>
          <w:szCs w:val="28"/>
        </w:rPr>
        <w:t>obrazovanju</w:t>
      </w:r>
      <w:proofErr w:type="spellEnd"/>
    </w:p>
    <w:p w14:paraId="3CD80E25" w14:textId="47A36E65" w:rsidR="00D52501" w:rsidRDefault="00D52501" w:rsidP="005B59B4">
      <w:pPr>
        <w:jc w:val="both"/>
        <w:rPr>
          <w:rFonts w:ascii="Calibri" w:hAnsi="Calibri"/>
          <w:sz w:val="22"/>
        </w:rPr>
      </w:pPr>
    </w:p>
    <w:p w14:paraId="25FFBA8F" w14:textId="343F4CB2" w:rsidR="00E914F1" w:rsidRPr="002D6D78" w:rsidRDefault="00DB5D24" w:rsidP="00DB5D24">
      <w:pPr>
        <w:rPr>
          <w:rFonts w:asciiTheme="minorHAnsi" w:hAnsiTheme="minorHAnsi"/>
          <w:i/>
          <w:u w:val="single"/>
        </w:rPr>
      </w:pPr>
      <w:bookmarkStart w:id="0" w:name="OLE_LINK3"/>
      <w:proofErr w:type="spellStart"/>
      <w:r w:rsidRPr="002D6D78">
        <w:rPr>
          <w:rFonts w:asciiTheme="minorHAnsi" w:hAnsiTheme="minorHAnsi"/>
          <w:i/>
          <w:u w:val="single"/>
        </w:rPr>
        <w:t>Predškolsko</w:t>
      </w:r>
      <w:proofErr w:type="spellEnd"/>
      <w:r w:rsidRPr="002D6D78">
        <w:rPr>
          <w:rFonts w:asciiTheme="minorHAnsi" w:hAnsiTheme="minorHAnsi"/>
          <w:i/>
          <w:u w:val="single"/>
        </w:rPr>
        <w:t xml:space="preserve"> </w:t>
      </w:r>
      <w:proofErr w:type="spellStart"/>
      <w:r w:rsidRPr="002D6D78">
        <w:rPr>
          <w:rFonts w:asciiTheme="minorHAnsi" w:hAnsiTheme="minorHAnsi"/>
          <w:i/>
          <w:u w:val="single"/>
        </w:rPr>
        <w:t>obrazovanje</w:t>
      </w:r>
      <w:proofErr w:type="spellEnd"/>
      <w:r w:rsidRPr="002D6D78">
        <w:rPr>
          <w:rFonts w:asciiTheme="minorHAnsi" w:hAnsiTheme="minorHAnsi"/>
          <w:i/>
          <w:u w:val="single"/>
        </w:rPr>
        <w:t xml:space="preserve"> </w:t>
      </w:r>
    </w:p>
    <w:bookmarkEnd w:id="0"/>
    <w:p w14:paraId="4BAEB3A9" w14:textId="77777777" w:rsidR="00DB5D24" w:rsidRPr="002D6D78" w:rsidRDefault="00DB5D24" w:rsidP="00DB5D24">
      <w:pPr>
        <w:rPr>
          <w:rFonts w:asciiTheme="minorHAnsi" w:hAnsiTheme="minorHAnsi"/>
        </w:rPr>
      </w:pPr>
    </w:p>
    <w:p w14:paraId="082F43D3" w14:textId="6FB61237" w:rsidR="00DB5D24" w:rsidRPr="005A30AD" w:rsidRDefault="00C66AFF" w:rsidP="00DB5D24">
      <w:pPr>
        <w:pBdr>
          <w:top w:val="single" w:sz="4" w:space="1" w:color="auto"/>
          <w:left w:val="single" w:sz="4" w:space="4" w:color="auto"/>
          <w:bottom w:val="single" w:sz="4" w:space="1" w:color="auto"/>
          <w:right w:val="single" w:sz="4" w:space="4" w:color="auto"/>
        </w:pBdr>
        <w:rPr>
          <w:rFonts w:asciiTheme="minorHAnsi" w:hAnsiTheme="minorHAnsi"/>
          <w:b/>
          <w:smallCaps/>
          <w:sz w:val="20"/>
          <w:szCs w:val="20"/>
        </w:rPr>
      </w:pPr>
      <w:proofErr w:type="spellStart"/>
      <w:r>
        <w:rPr>
          <w:rFonts w:asciiTheme="minorHAnsi" w:hAnsiTheme="minorHAnsi"/>
          <w:b/>
          <w:smallCaps/>
          <w:sz w:val="20"/>
          <w:szCs w:val="20"/>
        </w:rPr>
        <w:t>Okvir</w:t>
      </w:r>
      <w:proofErr w:type="spellEnd"/>
      <w:r w:rsidR="00DB5D24" w:rsidRPr="005A30AD">
        <w:rPr>
          <w:rFonts w:asciiTheme="minorHAnsi" w:hAnsiTheme="minorHAnsi"/>
          <w:b/>
          <w:smallCaps/>
          <w:sz w:val="20"/>
          <w:szCs w:val="20"/>
        </w:rPr>
        <w:t xml:space="preserve"> 1. </w:t>
      </w:r>
      <w:proofErr w:type="spellStart"/>
      <w:r w:rsidR="00DB5D24" w:rsidRPr="005A30AD">
        <w:rPr>
          <w:rFonts w:asciiTheme="minorHAnsi" w:hAnsiTheme="minorHAnsi"/>
          <w:b/>
          <w:smallCaps/>
          <w:sz w:val="20"/>
          <w:szCs w:val="20"/>
        </w:rPr>
        <w:t>Važnost</w:t>
      </w:r>
      <w:proofErr w:type="spellEnd"/>
      <w:r w:rsidR="00DB5D24" w:rsidRPr="005A30AD">
        <w:rPr>
          <w:rFonts w:asciiTheme="minorHAnsi" w:hAnsiTheme="minorHAnsi"/>
          <w:b/>
          <w:smallCaps/>
          <w:sz w:val="20"/>
          <w:szCs w:val="20"/>
        </w:rPr>
        <w:t xml:space="preserve"> </w:t>
      </w:r>
      <w:proofErr w:type="spellStart"/>
      <w:r w:rsidR="00DB5D24" w:rsidRPr="005A30AD">
        <w:rPr>
          <w:rFonts w:asciiTheme="minorHAnsi" w:hAnsiTheme="minorHAnsi"/>
          <w:b/>
          <w:smallCaps/>
          <w:sz w:val="20"/>
          <w:szCs w:val="20"/>
        </w:rPr>
        <w:t>predškolskog</w:t>
      </w:r>
      <w:proofErr w:type="spellEnd"/>
      <w:r w:rsidR="00DB5D24" w:rsidRPr="005A30AD">
        <w:rPr>
          <w:rFonts w:asciiTheme="minorHAnsi" w:hAnsiTheme="minorHAnsi"/>
          <w:b/>
          <w:smallCaps/>
          <w:sz w:val="20"/>
          <w:szCs w:val="20"/>
        </w:rPr>
        <w:t xml:space="preserve"> </w:t>
      </w:r>
      <w:proofErr w:type="spellStart"/>
      <w:r w:rsidR="00DB5D24" w:rsidRPr="005A30AD">
        <w:rPr>
          <w:rFonts w:asciiTheme="minorHAnsi" w:hAnsiTheme="minorHAnsi"/>
          <w:b/>
          <w:smallCaps/>
          <w:sz w:val="20"/>
          <w:szCs w:val="20"/>
        </w:rPr>
        <w:t>obrazovanja</w:t>
      </w:r>
      <w:proofErr w:type="spellEnd"/>
      <w:r w:rsidR="00DB5D24" w:rsidRPr="005A30AD">
        <w:rPr>
          <w:rFonts w:asciiTheme="minorHAnsi" w:hAnsiTheme="minorHAnsi"/>
          <w:b/>
          <w:smallCaps/>
          <w:sz w:val="20"/>
          <w:szCs w:val="20"/>
        </w:rPr>
        <w:t xml:space="preserve"> </w:t>
      </w:r>
      <w:proofErr w:type="spellStart"/>
      <w:r w:rsidR="00DB5D24" w:rsidRPr="005A30AD">
        <w:rPr>
          <w:rFonts w:asciiTheme="minorHAnsi" w:hAnsiTheme="minorHAnsi"/>
          <w:b/>
          <w:smallCaps/>
          <w:sz w:val="20"/>
          <w:szCs w:val="20"/>
        </w:rPr>
        <w:t>i</w:t>
      </w:r>
      <w:proofErr w:type="spellEnd"/>
      <w:r w:rsidR="00DB5D24" w:rsidRPr="005A30AD">
        <w:rPr>
          <w:rFonts w:asciiTheme="minorHAnsi" w:hAnsiTheme="minorHAnsi"/>
          <w:b/>
          <w:smallCaps/>
          <w:sz w:val="20"/>
          <w:szCs w:val="20"/>
        </w:rPr>
        <w:t xml:space="preserve"> </w:t>
      </w:r>
      <w:proofErr w:type="spellStart"/>
      <w:r w:rsidR="00DB5D24" w:rsidRPr="005A30AD">
        <w:rPr>
          <w:rFonts w:asciiTheme="minorHAnsi" w:hAnsiTheme="minorHAnsi"/>
          <w:b/>
          <w:smallCaps/>
          <w:sz w:val="20"/>
          <w:szCs w:val="20"/>
        </w:rPr>
        <w:t>vaspitanja</w:t>
      </w:r>
      <w:proofErr w:type="spellEnd"/>
      <w:r w:rsidR="00DB5D24" w:rsidRPr="005A30AD">
        <w:rPr>
          <w:rFonts w:asciiTheme="minorHAnsi" w:hAnsiTheme="minorHAnsi"/>
          <w:b/>
          <w:smallCaps/>
          <w:sz w:val="20"/>
          <w:szCs w:val="20"/>
        </w:rPr>
        <w:t xml:space="preserve"> </w:t>
      </w:r>
    </w:p>
    <w:p w14:paraId="18499892" w14:textId="77777777" w:rsidR="00DB5D24" w:rsidRPr="005A30AD" w:rsidRDefault="00DB5D24" w:rsidP="00DB5D24">
      <w:pPr>
        <w:pBdr>
          <w:top w:val="single" w:sz="4" w:space="1" w:color="auto"/>
          <w:left w:val="single" w:sz="4" w:space="4" w:color="auto"/>
          <w:bottom w:val="single" w:sz="4" w:space="1" w:color="auto"/>
          <w:right w:val="single" w:sz="4" w:space="4" w:color="auto"/>
        </w:pBdr>
        <w:rPr>
          <w:rFonts w:asciiTheme="minorHAnsi" w:hAnsiTheme="minorHAnsi"/>
          <w:sz w:val="20"/>
          <w:szCs w:val="20"/>
        </w:rPr>
      </w:pPr>
    </w:p>
    <w:p w14:paraId="5A6EE53D" w14:textId="6647A9FF" w:rsidR="00DB5D24" w:rsidRDefault="00DB5D24" w:rsidP="00DB5D24">
      <w:pPr>
        <w:pBdr>
          <w:top w:val="single" w:sz="4" w:space="1" w:color="auto"/>
          <w:left w:val="single" w:sz="4" w:space="4" w:color="auto"/>
          <w:bottom w:val="single" w:sz="4" w:space="1" w:color="auto"/>
          <w:right w:val="single" w:sz="4" w:space="4" w:color="auto"/>
        </w:pBdr>
        <w:jc w:val="both"/>
        <w:rPr>
          <w:rFonts w:asciiTheme="minorHAnsi" w:hAnsiTheme="minorHAnsi"/>
          <w:b/>
          <w:sz w:val="19"/>
          <w:szCs w:val="19"/>
        </w:rPr>
      </w:pPr>
      <w:r w:rsidRPr="003130B7">
        <w:rPr>
          <w:rFonts w:asciiTheme="minorHAnsi" w:hAnsiTheme="minorHAnsi"/>
          <w:sz w:val="19"/>
          <w:szCs w:val="19"/>
        </w:rPr>
        <w:t xml:space="preserve">Pored </w:t>
      </w:r>
      <w:proofErr w:type="spellStart"/>
      <w:r w:rsidRPr="003130B7">
        <w:rPr>
          <w:rFonts w:asciiTheme="minorHAnsi" w:hAnsiTheme="minorHAnsi"/>
          <w:sz w:val="19"/>
          <w:szCs w:val="19"/>
        </w:rPr>
        <w:t>tradicionalne</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i</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prepoznatljive</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uloge</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čuvanje</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dece</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poslednjih</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godina</w:t>
      </w:r>
      <w:proofErr w:type="spellEnd"/>
      <w:r w:rsidRPr="003130B7">
        <w:rPr>
          <w:rFonts w:asciiTheme="minorHAnsi" w:hAnsiTheme="minorHAnsi"/>
          <w:sz w:val="19"/>
          <w:szCs w:val="19"/>
        </w:rPr>
        <w:t xml:space="preserve"> se </w:t>
      </w:r>
      <w:proofErr w:type="spellStart"/>
      <w:r w:rsidRPr="003130B7">
        <w:rPr>
          <w:rFonts w:asciiTheme="minorHAnsi" w:hAnsiTheme="minorHAnsi"/>
          <w:sz w:val="19"/>
          <w:szCs w:val="19"/>
        </w:rPr>
        <w:t>sve</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više</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ukazuje</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na</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veoma</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važnu</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ulogu</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predškolskog</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obrazovanje</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i</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vaspitanja</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koja</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podstiče</w:t>
      </w:r>
      <w:proofErr w:type="spellEnd"/>
      <w:r w:rsidRPr="003130B7">
        <w:rPr>
          <w:rFonts w:asciiTheme="minorHAnsi" w:hAnsiTheme="minorHAnsi"/>
          <w:sz w:val="19"/>
          <w:szCs w:val="19"/>
        </w:rPr>
        <w:t xml:space="preserve"> rani </w:t>
      </w:r>
      <w:proofErr w:type="spellStart"/>
      <w:r w:rsidRPr="003130B7">
        <w:rPr>
          <w:rFonts w:asciiTheme="minorHAnsi" w:hAnsiTheme="minorHAnsi"/>
          <w:sz w:val="19"/>
          <w:szCs w:val="19"/>
        </w:rPr>
        <w:t>razvoj</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i</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obrazovanje</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dece</w:t>
      </w:r>
      <w:proofErr w:type="spellEnd"/>
      <w:r w:rsidRPr="003130B7">
        <w:rPr>
          <w:rFonts w:asciiTheme="minorHAnsi" w:hAnsiTheme="minorHAnsi"/>
          <w:sz w:val="19"/>
          <w:szCs w:val="19"/>
        </w:rPr>
        <w:t xml:space="preserve">. </w:t>
      </w:r>
      <w:proofErr w:type="spellStart"/>
      <w:r w:rsidR="000E732A" w:rsidRPr="003130B7">
        <w:rPr>
          <w:rFonts w:asciiTheme="minorHAnsi" w:hAnsiTheme="minorHAnsi"/>
          <w:sz w:val="19"/>
          <w:szCs w:val="19"/>
        </w:rPr>
        <w:t>Međutim</w:t>
      </w:r>
      <w:proofErr w:type="spellEnd"/>
      <w:r w:rsidR="000E732A" w:rsidRPr="003130B7">
        <w:rPr>
          <w:rFonts w:asciiTheme="minorHAnsi" w:hAnsiTheme="minorHAnsi"/>
          <w:sz w:val="19"/>
          <w:szCs w:val="19"/>
        </w:rPr>
        <w:t xml:space="preserve">, </w:t>
      </w:r>
      <w:proofErr w:type="spellStart"/>
      <w:r w:rsidR="000E732A" w:rsidRPr="003130B7">
        <w:rPr>
          <w:rFonts w:asciiTheme="minorHAnsi" w:hAnsiTheme="minorHAnsi"/>
          <w:sz w:val="19"/>
          <w:szCs w:val="19"/>
        </w:rPr>
        <w:t>p</w:t>
      </w:r>
      <w:r w:rsidR="00AF77DC" w:rsidRPr="003130B7">
        <w:rPr>
          <w:rFonts w:asciiTheme="minorHAnsi" w:hAnsiTheme="minorHAnsi"/>
          <w:sz w:val="19"/>
          <w:szCs w:val="19"/>
        </w:rPr>
        <w:t>redlog</w:t>
      </w:r>
      <w:proofErr w:type="spellEnd"/>
      <w:r w:rsidR="00AF77DC" w:rsidRPr="003130B7">
        <w:rPr>
          <w:rFonts w:asciiTheme="minorHAnsi" w:hAnsiTheme="minorHAnsi"/>
          <w:sz w:val="19"/>
          <w:szCs w:val="19"/>
        </w:rPr>
        <w:t xml:space="preserve"> </w:t>
      </w:r>
      <w:proofErr w:type="spellStart"/>
      <w:r w:rsidR="00AF77DC" w:rsidRPr="003130B7">
        <w:rPr>
          <w:rFonts w:asciiTheme="minorHAnsi" w:hAnsiTheme="minorHAnsi"/>
          <w:sz w:val="19"/>
          <w:szCs w:val="19"/>
        </w:rPr>
        <w:t>Strategije</w:t>
      </w:r>
      <w:proofErr w:type="spellEnd"/>
      <w:r w:rsidR="00AF77DC" w:rsidRPr="003130B7">
        <w:rPr>
          <w:rFonts w:asciiTheme="minorHAnsi" w:hAnsiTheme="minorHAnsi"/>
          <w:sz w:val="19"/>
          <w:szCs w:val="19"/>
        </w:rPr>
        <w:t xml:space="preserve"> </w:t>
      </w:r>
      <w:proofErr w:type="spellStart"/>
      <w:r w:rsidR="00AF77DC" w:rsidRPr="003130B7">
        <w:rPr>
          <w:rFonts w:asciiTheme="minorHAnsi" w:hAnsiTheme="minorHAnsi"/>
          <w:sz w:val="19"/>
          <w:szCs w:val="19"/>
        </w:rPr>
        <w:t>konstatuje</w:t>
      </w:r>
      <w:proofErr w:type="spellEnd"/>
      <w:r w:rsidR="00AF77DC" w:rsidRPr="003130B7">
        <w:rPr>
          <w:rFonts w:asciiTheme="minorHAnsi" w:hAnsiTheme="minorHAnsi"/>
          <w:sz w:val="19"/>
          <w:szCs w:val="19"/>
        </w:rPr>
        <w:t xml:space="preserve"> da je </w:t>
      </w:r>
      <w:proofErr w:type="spellStart"/>
      <w:r w:rsidR="00AF77DC" w:rsidRPr="003130B7">
        <w:rPr>
          <w:rFonts w:asciiTheme="minorHAnsi" w:hAnsiTheme="minorHAnsi"/>
          <w:b/>
          <w:sz w:val="19"/>
          <w:szCs w:val="19"/>
        </w:rPr>
        <w:t>svest</w:t>
      </w:r>
      <w:proofErr w:type="spellEnd"/>
      <w:r w:rsidR="00AF77DC" w:rsidRPr="003130B7">
        <w:rPr>
          <w:rFonts w:asciiTheme="minorHAnsi" w:hAnsiTheme="minorHAnsi"/>
          <w:b/>
          <w:sz w:val="19"/>
          <w:szCs w:val="19"/>
        </w:rPr>
        <w:t xml:space="preserve"> </w:t>
      </w:r>
      <w:proofErr w:type="spellStart"/>
      <w:r w:rsidR="00AF77DC" w:rsidRPr="003130B7">
        <w:rPr>
          <w:rFonts w:asciiTheme="minorHAnsi" w:hAnsiTheme="minorHAnsi"/>
          <w:b/>
          <w:sz w:val="19"/>
          <w:szCs w:val="19"/>
        </w:rPr>
        <w:t>građana</w:t>
      </w:r>
      <w:proofErr w:type="spellEnd"/>
      <w:r w:rsidR="00AF77DC" w:rsidRPr="003130B7">
        <w:rPr>
          <w:rFonts w:asciiTheme="minorHAnsi" w:hAnsiTheme="minorHAnsi"/>
          <w:b/>
          <w:sz w:val="19"/>
          <w:szCs w:val="19"/>
        </w:rPr>
        <w:t xml:space="preserve"> o </w:t>
      </w:r>
      <w:proofErr w:type="spellStart"/>
      <w:r w:rsidR="00AF77DC" w:rsidRPr="003130B7">
        <w:rPr>
          <w:rFonts w:asciiTheme="minorHAnsi" w:hAnsiTheme="minorHAnsi"/>
          <w:b/>
          <w:sz w:val="19"/>
          <w:szCs w:val="19"/>
        </w:rPr>
        <w:t>vaspitnoj</w:t>
      </w:r>
      <w:proofErr w:type="spellEnd"/>
      <w:r w:rsidR="00AF77DC" w:rsidRPr="003130B7">
        <w:rPr>
          <w:rFonts w:asciiTheme="minorHAnsi" w:hAnsiTheme="minorHAnsi"/>
          <w:b/>
          <w:sz w:val="19"/>
          <w:szCs w:val="19"/>
        </w:rPr>
        <w:t xml:space="preserve"> </w:t>
      </w:r>
      <w:proofErr w:type="spellStart"/>
      <w:r w:rsidR="00AF77DC" w:rsidRPr="003130B7">
        <w:rPr>
          <w:rFonts w:asciiTheme="minorHAnsi" w:hAnsiTheme="minorHAnsi"/>
          <w:b/>
          <w:sz w:val="19"/>
          <w:szCs w:val="19"/>
        </w:rPr>
        <w:t>i</w:t>
      </w:r>
      <w:proofErr w:type="spellEnd"/>
      <w:r w:rsidR="00AF77DC" w:rsidRPr="003130B7">
        <w:rPr>
          <w:rFonts w:asciiTheme="minorHAnsi" w:hAnsiTheme="minorHAnsi"/>
          <w:b/>
          <w:sz w:val="19"/>
          <w:szCs w:val="19"/>
        </w:rPr>
        <w:t xml:space="preserve"> </w:t>
      </w:r>
      <w:proofErr w:type="spellStart"/>
      <w:r w:rsidR="00AF77DC" w:rsidRPr="003130B7">
        <w:rPr>
          <w:rFonts w:asciiTheme="minorHAnsi" w:hAnsiTheme="minorHAnsi"/>
          <w:b/>
          <w:sz w:val="19"/>
          <w:szCs w:val="19"/>
        </w:rPr>
        <w:t>obrazovnoj</w:t>
      </w:r>
      <w:proofErr w:type="spellEnd"/>
      <w:r w:rsidR="00AF77DC" w:rsidRPr="003130B7">
        <w:rPr>
          <w:rFonts w:asciiTheme="minorHAnsi" w:hAnsiTheme="minorHAnsi"/>
          <w:b/>
          <w:sz w:val="19"/>
          <w:szCs w:val="19"/>
        </w:rPr>
        <w:t xml:space="preserve"> </w:t>
      </w:r>
      <w:proofErr w:type="spellStart"/>
      <w:r w:rsidR="00AF77DC" w:rsidRPr="003130B7">
        <w:rPr>
          <w:rFonts w:asciiTheme="minorHAnsi" w:hAnsiTheme="minorHAnsi"/>
          <w:b/>
          <w:sz w:val="19"/>
          <w:szCs w:val="19"/>
        </w:rPr>
        <w:t>ulozi</w:t>
      </w:r>
      <w:proofErr w:type="spellEnd"/>
      <w:r w:rsidR="00AF77DC" w:rsidRPr="003130B7">
        <w:rPr>
          <w:rFonts w:asciiTheme="minorHAnsi" w:hAnsiTheme="minorHAnsi"/>
          <w:b/>
          <w:sz w:val="19"/>
          <w:szCs w:val="19"/>
        </w:rPr>
        <w:t xml:space="preserve"> PVO </w:t>
      </w:r>
      <w:proofErr w:type="spellStart"/>
      <w:r w:rsidR="00AF77DC" w:rsidRPr="003130B7">
        <w:rPr>
          <w:rFonts w:asciiTheme="minorHAnsi" w:hAnsiTheme="minorHAnsi"/>
          <w:b/>
          <w:sz w:val="19"/>
          <w:szCs w:val="19"/>
        </w:rPr>
        <w:t>nedovoljno</w:t>
      </w:r>
      <w:proofErr w:type="spellEnd"/>
      <w:r w:rsidR="00AF77DC" w:rsidRPr="003130B7">
        <w:rPr>
          <w:rFonts w:asciiTheme="minorHAnsi" w:hAnsiTheme="minorHAnsi"/>
          <w:b/>
          <w:sz w:val="19"/>
          <w:szCs w:val="19"/>
        </w:rPr>
        <w:t xml:space="preserve"> </w:t>
      </w:r>
      <w:proofErr w:type="spellStart"/>
      <w:r w:rsidR="00AF77DC" w:rsidRPr="003130B7">
        <w:rPr>
          <w:rFonts w:asciiTheme="minorHAnsi" w:hAnsiTheme="minorHAnsi"/>
          <w:b/>
          <w:sz w:val="19"/>
          <w:szCs w:val="19"/>
        </w:rPr>
        <w:t>razvijena</w:t>
      </w:r>
      <w:proofErr w:type="spellEnd"/>
      <w:r w:rsidR="00AF77DC" w:rsidRPr="003130B7">
        <w:rPr>
          <w:rFonts w:asciiTheme="minorHAnsi" w:hAnsiTheme="minorHAnsi"/>
          <w:b/>
          <w:sz w:val="19"/>
          <w:szCs w:val="19"/>
        </w:rPr>
        <w:t xml:space="preserve">, </w:t>
      </w:r>
      <w:proofErr w:type="spellStart"/>
      <w:r w:rsidR="00AF77DC" w:rsidRPr="003130B7">
        <w:rPr>
          <w:rFonts w:asciiTheme="minorHAnsi" w:hAnsiTheme="minorHAnsi"/>
          <w:b/>
          <w:sz w:val="19"/>
          <w:szCs w:val="19"/>
        </w:rPr>
        <w:t>jer</w:t>
      </w:r>
      <w:proofErr w:type="spellEnd"/>
      <w:r w:rsidR="00AF77DC" w:rsidRPr="003130B7">
        <w:rPr>
          <w:rFonts w:asciiTheme="minorHAnsi" w:hAnsiTheme="minorHAnsi"/>
          <w:b/>
          <w:sz w:val="19"/>
          <w:szCs w:val="19"/>
        </w:rPr>
        <w:t xml:space="preserve"> se PVO </w:t>
      </w:r>
      <w:proofErr w:type="spellStart"/>
      <w:r w:rsidR="00AF77DC" w:rsidRPr="003130B7">
        <w:rPr>
          <w:rFonts w:asciiTheme="minorHAnsi" w:hAnsiTheme="minorHAnsi"/>
          <w:b/>
          <w:sz w:val="19"/>
          <w:szCs w:val="19"/>
        </w:rPr>
        <w:t>još</w:t>
      </w:r>
      <w:proofErr w:type="spellEnd"/>
      <w:r w:rsidR="00AF77DC" w:rsidRPr="003130B7">
        <w:rPr>
          <w:rFonts w:asciiTheme="minorHAnsi" w:hAnsiTheme="minorHAnsi"/>
          <w:b/>
          <w:sz w:val="19"/>
          <w:szCs w:val="19"/>
        </w:rPr>
        <w:t xml:space="preserve"> </w:t>
      </w:r>
      <w:proofErr w:type="spellStart"/>
      <w:r w:rsidR="00AF77DC" w:rsidRPr="003130B7">
        <w:rPr>
          <w:rFonts w:asciiTheme="minorHAnsi" w:hAnsiTheme="minorHAnsi"/>
          <w:b/>
          <w:sz w:val="19"/>
          <w:szCs w:val="19"/>
        </w:rPr>
        <w:t>uvek</w:t>
      </w:r>
      <w:proofErr w:type="spellEnd"/>
      <w:r w:rsidR="00AF77DC" w:rsidRPr="003130B7">
        <w:rPr>
          <w:rFonts w:asciiTheme="minorHAnsi" w:hAnsiTheme="minorHAnsi"/>
          <w:b/>
          <w:sz w:val="19"/>
          <w:szCs w:val="19"/>
        </w:rPr>
        <w:t xml:space="preserve"> u </w:t>
      </w:r>
      <w:proofErr w:type="spellStart"/>
      <w:r w:rsidR="00AF77DC" w:rsidRPr="003130B7">
        <w:rPr>
          <w:rFonts w:asciiTheme="minorHAnsi" w:hAnsiTheme="minorHAnsi"/>
          <w:b/>
          <w:sz w:val="19"/>
          <w:szCs w:val="19"/>
        </w:rPr>
        <w:t>većoj</w:t>
      </w:r>
      <w:proofErr w:type="spellEnd"/>
      <w:r w:rsidR="00AF77DC" w:rsidRPr="003130B7">
        <w:rPr>
          <w:rFonts w:asciiTheme="minorHAnsi" w:hAnsiTheme="minorHAnsi"/>
          <w:b/>
          <w:sz w:val="19"/>
          <w:szCs w:val="19"/>
        </w:rPr>
        <w:t xml:space="preserve"> meri </w:t>
      </w:r>
      <w:proofErr w:type="spellStart"/>
      <w:r w:rsidR="00AF77DC" w:rsidRPr="003130B7">
        <w:rPr>
          <w:rFonts w:asciiTheme="minorHAnsi" w:hAnsiTheme="minorHAnsi"/>
          <w:b/>
          <w:sz w:val="19"/>
          <w:szCs w:val="19"/>
        </w:rPr>
        <w:t>posmatra</w:t>
      </w:r>
      <w:proofErr w:type="spellEnd"/>
      <w:r w:rsidR="00AF77DC" w:rsidRPr="003130B7">
        <w:rPr>
          <w:rFonts w:asciiTheme="minorHAnsi" w:hAnsiTheme="minorHAnsi"/>
          <w:b/>
          <w:sz w:val="19"/>
          <w:szCs w:val="19"/>
        </w:rPr>
        <w:t xml:space="preserve"> </w:t>
      </w:r>
      <w:proofErr w:type="spellStart"/>
      <w:r w:rsidR="00AF77DC" w:rsidRPr="003130B7">
        <w:rPr>
          <w:rFonts w:asciiTheme="minorHAnsi" w:hAnsiTheme="minorHAnsi"/>
          <w:b/>
          <w:sz w:val="19"/>
          <w:szCs w:val="19"/>
        </w:rPr>
        <w:t>kao</w:t>
      </w:r>
      <w:proofErr w:type="spellEnd"/>
      <w:r w:rsidR="00AF77DC" w:rsidRPr="003130B7">
        <w:rPr>
          <w:rFonts w:asciiTheme="minorHAnsi" w:hAnsiTheme="minorHAnsi"/>
          <w:b/>
          <w:sz w:val="19"/>
          <w:szCs w:val="19"/>
        </w:rPr>
        <w:t xml:space="preserve"> „</w:t>
      </w:r>
      <w:proofErr w:type="spellStart"/>
      <w:r w:rsidR="00AF77DC" w:rsidRPr="003130B7">
        <w:rPr>
          <w:rFonts w:asciiTheme="minorHAnsi" w:hAnsiTheme="minorHAnsi"/>
          <w:b/>
          <w:sz w:val="19"/>
          <w:szCs w:val="19"/>
        </w:rPr>
        <w:t>sistem</w:t>
      </w:r>
      <w:proofErr w:type="spellEnd"/>
      <w:r w:rsidR="00AF77DC" w:rsidRPr="003130B7">
        <w:rPr>
          <w:rFonts w:asciiTheme="minorHAnsi" w:hAnsiTheme="minorHAnsi"/>
          <w:b/>
          <w:sz w:val="19"/>
          <w:szCs w:val="19"/>
        </w:rPr>
        <w:t xml:space="preserve"> za </w:t>
      </w:r>
      <w:proofErr w:type="spellStart"/>
      <w:r w:rsidR="00AF77DC" w:rsidRPr="003130B7">
        <w:rPr>
          <w:rFonts w:asciiTheme="minorHAnsi" w:hAnsiTheme="minorHAnsi"/>
          <w:b/>
          <w:sz w:val="19"/>
          <w:szCs w:val="19"/>
        </w:rPr>
        <w:t>čuvanje</w:t>
      </w:r>
      <w:proofErr w:type="spellEnd"/>
      <w:r w:rsidR="00AF77DC" w:rsidRPr="003130B7">
        <w:rPr>
          <w:rFonts w:asciiTheme="minorHAnsi" w:hAnsiTheme="minorHAnsi"/>
          <w:b/>
          <w:sz w:val="19"/>
          <w:szCs w:val="19"/>
        </w:rPr>
        <w:t xml:space="preserve"> </w:t>
      </w:r>
      <w:proofErr w:type="spellStart"/>
      <w:r w:rsidR="00AF77DC" w:rsidRPr="003130B7">
        <w:rPr>
          <w:rFonts w:asciiTheme="minorHAnsi" w:hAnsiTheme="minorHAnsi"/>
          <w:b/>
          <w:sz w:val="19"/>
          <w:szCs w:val="19"/>
        </w:rPr>
        <w:t>dece</w:t>
      </w:r>
      <w:proofErr w:type="spellEnd"/>
      <w:r w:rsidR="00AF77DC" w:rsidRPr="003130B7">
        <w:rPr>
          <w:rFonts w:asciiTheme="minorHAnsi" w:hAnsiTheme="minorHAnsi"/>
          <w:b/>
          <w:sz w:val="19"/>
          <w:szCs w:val="19"/>
        </w:rPr>
        <w:t xml:space="preserve">“ </w:t>
      </w:r>
      <w:proofErr w:type="spellStart"/>
      <w:r w:rsidR="00AF77DC" w:rsidRPr="003130B7">
        <w:rPr>
          <w:rFonts w:asciiTheme="minorHAnsi" w:hAnsiTheme="minorHAnsi"/>
          <w:b/>
          <w:sz w:val="19"/>
          <w:szCs w:val="19"/>
        </w:rPr>
        <w:t>predškolskog</w:t>
      </w:r>
      <w:proofErr w:type="spellEnd"/>
      <w:r w:rsidR="00AF77DC" w:rsidRPr="003130B7">
        <w:rPr>
          <w:rFonts w:asciiTheme="minorHAnsi" w:hAnsiTheme="minorHAnsi"/>
          <w:b/>
          <w:sz w:val="19"/>
          <w:szCs w:val="19"/>
        </w:rPr>
        <w:t xml:space="preserve"> </w:t>
      </w:r>
      <w:proofErr w:type="spellStart"/>
      <w:r w:rsidR="00AF77DC" w:rsidRPr="003130B7">
        <w:rPr>
          <w:rFonts w:asciiTheme="minorHAnsi" w:hAnsiTheme="minorHAnsi"/>
          <w:b/>
          <w:sz w:val="19"/>
          <w:szCs w:val="19"/>
        </w:rPr>
        <w:t>uzrasta</w:t>
      </w:r>
      <w:proofErr w:type="spellEnd"/>
      <w:r w:rsidR="00AF77DC" w:rsidRPr="003130B7">
        <w:rPr>
          <w:rFonts w:asciiTheme="minorHAnsi" w:hAnsiTheme="minorHAnsi"/>
          <w:b/>
          <w:sz w:val="19"/>
          <w:szCs w:val="19"/>
        </w:rPr>
        <w:t xml:space="preserve"> </w:t>
      </w:r>
      <w:proofErr w:type="spellStart"/>
      <w:r w:rsidR="00AF77DC" w:rsidRPr="003130B7">
        <w:rPr>
          <w:rFonts w:asciiTheme="minorHAnsi" w:hAnsiTheme="minorHAnsi"/>
          <w:b/>
          <w:sz w:val="19"/>
          <w:szCs w:val="19"/>
        </w:rPr>
        <w:t>nego</w:t>
      </w:r>
      <w:proofErr w:type="spellEnd"/>
      <w:r w:rsidR="00AF77DC" w:rsidRPr="003130B7">
        <w:rPr>
          <w:rFonts w:asciiTheme="minorHAnsi" w:hAnsiTheme="minorHAnsi"/>
          <w:b/>
          <w:sz w:val="19"/>
          <w:szCs w:val="19"/>
        </w:rPr>
        <w:t xml:space="preserve"> </w:t>
      </w:r>
      <w:proofErr w:type="spellStart"/>
      <w:r w:rsidR="00AF77DC" w:rsidRPr="003130B7">
        <w:rPr>
          <w:rFonts w:asciiTheme="minorHAnsi" w:hAnsiTheme="minorHAnsi"/>
          <w:b/>
          <w:sz w:val="19"/>
          <w:szCs w:val="19"/>
        </w:rPr>
        <w:t>kao</w:t>
      </w:r>
      <w:proofErr w:type="spellEnd"/>
      <w:r w:rsidR="00AF77DC" w:rsidRPr="003130B7">
        <w:rPr>
          <w:rFonts w:asciiTheme="minorHAnsi" w:hAnsiTheme="minorHAnsi"/>
          <w:b/>
          <w:sz w:val="19"/>
          <w:szCs w:val="19"/>
        </w:rPr>
        <w:t xml:space="preserve"> deo </w:t>
      </w:r>
      <w:proofErr w:type="spellStart"/>
      <w:r w:rsidR="00AF77DC" w:rsidRPr="003130B7">
        <w:rPr>
          <w:rFonts w:asciiTheme="minorHAnsi" w:hAnsiTheme="minorHAnsi"/>
          <w:b/>
          <w:sz w:val="19"/>
          <w:szCs w:val="19"/>
        </w:rPr>
        <w:t>vaspitno-obrazovnog</w:t>
      </w:r>
      <w:proofErr w:type="spellEnd"/>
      <w:r w:rsidR="00AF77DC" w:rsidRPr="003130B7">
        <w:rPr>
          <w:rFonts w:asciiTheme="minorHAnsi" w:hAnsiTheme="minorHAnsi"/>
          <w:b/>
          <w:sz w:val="19"/>
          <w:szCs w:val="19"/>
        </w:rPr>
        <w:t xml:space="preserve"> </w:t>
      </w:r>
      <w:proofErr w:type="spellStart"/>
      <w:r w:rsidR="00AF77DC" w:rsidRPr="003130B7">
        <w:rPr>
          <w:rFonts w:asciiTheme="minorHAnsi" w:hAnsiTheme="minorHAnsi"/>
          <w:b/>
          <w:sz w:val="19"/>
          <w:szCs w:val="19"/>
        </w:rPr>
        <w:t>sistema</w:t>
      </w:r>
      <w:proofErr w:type="spellEnd"/>
      <w:r w:rsidR="00AF77DC" w:rsidRPr="003130B7">
        <w:rPr>
          <w:rFonts w:asciiTheme="minorHAnsi" w:hAnsiTheme="minorHAnsi"/>
          <w:b/>
          <w:sz w:val="19"/>
          <w:szCs w:val="19"/>
        </w:rPr>
        <w:t xml:space="preserve"> RS.</w:t>
      </w:r>
    </w:p>
    <w:p w14:paraId="6DF36390" w14:textId="2D3F6EE5" w:rsidR="006C0D54" w:rsidRDefault="006C0D54" w:rsidP="00DB5D24">
      <w:pPr>
        <w:pBdr>
          <w:top w:val="single" w:sz="4" w:space="1" w:color="auto"/>
          <w:left w:val="single" w:sz="4" w:space="4" w:color="auto"/>
          <w:bottom w:val="single" w:sz="4" w:space="1" w:color="auto"/>
          <w:right w:val="single" w:sz="4" w:space="4" w:color="auto"/>
        </w:pBdr>
        <w:jc w:val="both"/>
        <w:rPr>
          <w:rFonts w:asciiTheme="minorHAnsi" w:hAnsiTheme="minorHAnsi"/>
          <w:sz w:val="19"/>
          <w:szCs w:val="19"/>
        </w:rPr>
      </w:pPr>
    </w:p>
    <w:p w14:paraId="1DF1D171" w14:textId="6FE0FE77" w:rsidR="006C0D54" w:rsidRPr="003130B7" w:rsidRDefault="006C0D54" w:rsidP="006C0D54">
      <w:pPr>
        <w:pBdr>
          <w:top w:val="single" w:sz="4" w:space="1" w:color="auto"/>
          <w:left w:val="single" w:sz="4" w:space="4" w:color="auto"/>
          <w:bottom w:val="single" w:sz="4" w:space="1" w:color="auto"/>
          <w:right w:val="single" w:sz="4" w:space="4" w:color="auto"/>
        </w:pBdr>
        <w:jc w:val="both"/>
        <w:rPr>
          <w:rFonts w:asciiTheme="minorHAnsi" w:hAnsiTheme="minorHAnsi"/>
          <w:sz w:val="19"/>
          <w:szCs w:val="19"/>
        </w:rPr>
      </w:pPr>
      <w:r>
        <w:rPr>
          <w:rFonts w:asciiTheme="minorHAnsi" w:hAnsiTheme="minorHAnsi"/>
          <w:sz w:val="19"/>
          <w:szCs w:val="19"/>
        </w:rPr>
        <w:t xml:space="preserve">U </w:t>
      </w:r>
      <w:proofErr w:type="spellStart"/>
      <w:r>
        <w:rPr>
          <w:rFonts w:asciiTheme="minorHAnsi" w:hAnsiTheme="minorHAnsi"/>
          <w:sz w:val="19"/>
          <w:szCs w:val="19"/>
        </w:rPr>
        <w:t>prethodnoj</w:t>
      </w:r>
      <w:proofErr w:type="spellEnd"/>
      <w:r>
        <w:rPr>
          <w:rFonts w:asciiTheme="minorHAnsi" w:hAnsiTheme="minorHAnsi"/>
          <w:sz w:val="19"/>
          <w:szCs w:val="19"/>
        </w:rPr>
        <w:t xml:space="preserve"> </w:t>
      </w:r>
      <w:proofErr w:type="spellStart"/>
      <w:r>
        <w:rPr>
          <w:rFonts w:asciiTheme="minorHAnsi" w:hAnsiTheme="minorHAnsi"/>
          <w:sz w:val="19"/>
          <w:szCs w:val="19"/>
        </w:rPr>
        <w:t>deceniji</w:t>
      </w:r>
      <w:proofErr w:type="spellEnd"/>
      <w:r>
        <w:rPr>
          <w:rFonts w:asciiTheme="minorHAnsi" w:hAnsiTheme="minorHAnsi"/>
          <w:sz w:val="19"/>
          <w:szCs w:val="19"/>
        </w:rPr>
        <w:t xml:space="preserve"> </w:t>
      </w:r>
      <w:proofErr w:type="spellStart"/>
      <w:r>
        <w:rPr>
          <w:rFonts w:asciiTheme="minorHAnsi" w:hAnsiTheme="minorHAnsi"/>
          <w:sz w:val="19"/>
          <w:szCs w:val="19"/>
        </w:rPr>
        <w:t>došlo</w:t>
      </w:r>
      <w:proofErr w:type="spellEnd"/>
      <w:r>
        <w:rPr>
          <w:rFonts w:asciiTheme="minorHAnsi" w:hAnsiTheme="minorHAnsi"/>
          <w:sz w:val="19"/>
          <w:szCs w:val="19"/>
        </w:rPr>
        <w:t xml:space="preserve"> </w:t>
      </w:r>
      <w:proofErr w:type="spellStart"/>
      <w:r w:rsidRPr="003130B7">
        <w:rPr>
          <w:rFonts w:asciiTheme="minorHAnsi" w:hAnsiTheme="minorHAnsi"/>
          <w:sz w:val="19"/>
          <w:szCs w:val="19"/>
        </w:rPr>
        <w:t>došlo</w:t>
      </w:r>
      <w:proofErr w:type="spellEnd"/>
      <w:r w:rsidRPr="003130B7">
        <w:rPr>
          <w:rFonts w:asciiTheme="minorHAnsi" w:hAnsiTheme="minorHAnsi"/>
          <w:sz w:val="19"/>
          <w:szCs w:val="19"/>
        </w:rPr>
        <w:t xml:space="preserve"> </w:t>
      </w:r>
      <w:r>
        <w:rPr>
          <w:rFonts w:asciiTheme="minorHAnsi" w:hAnsiTheme="minorHAnsi"/>
          <w:sz w:val="19"/>
          <w:szCs w:val="19"/>
        </w:rPr>
        <w:t xml:space="preserve">je </w:t>
      </w:r>
      <w:r w:rsidRPr="003130B7">
        <w:rPr>
          <w:rFonts w:asciiTheme="minorHAnsi" w:hAnsiTheme="minorHAnsi"/>
          <w:sz w:val="19"/>
          <w:szCs w:val="19"/>
        </w:rPr>
        <w:t xml:space="preserve">do </w:t>
      </w:r>
      <w:proofErr w:type="spellStart"/>
      <w:r>
        <w:rPr>
          <w:rFonts w:asciiTheme="minorHAnsi" w:hAnsiTheme="minorHAnsi"/>
          <w:sz w:val="19"/>
          <w:szCs w:val="19"/>
        </w:rPr>
        <w:t>značanog</w:t>
      </w:r>
      <w:proofErr w:type="spellEnd"/>
      <w:r>
        <w:rPr>
          <w:rFonts w:asciiTheme="minorHAnsi" w:hAnsiTheme="minorHAnsi"/>
          <w:sz w:val="19"/>
          <w:szCs w:val="19"/>
        </w:rPr>
        <w:t xml:space="preserve"> </w:t>
      </w:r>
      <w:proofErr w:type="spellStart"/>
      <w:r w:rsidRPr="003130B7">
        <w:rPr>
          <w:rFonts w:asciiTheme="minorHAnsi" w:hAnsiTheme="minorHAnsi"/>
          <w:sz w:val="19"/>
          <w:szCs w:val="19"/>
        </w:rPr>
        <w:t>povećanja</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obuhvata</w:t>
      </w:r>
      <w:proofErr w:type="spellEnd"/>
      <w:r>
        <w:rPr>
          <w:rFonts w:asciiTheme="minorHAnsi" w:hAnsiTheme="minorHAnsi"/>
          <w:sz w:val="19"/>
          <w:szCs w:val="19"/>
        </w:rPr>
        <w:t xml:space="preserve"> PVO – za </w:t>
      </w:r>
      <w:proofErr w:type="spellStart"/>
      <w:r>
        <w:rPr>
          <w:rFonts w:asciiTheme="minorHAnsi" w:hAnsiTheme="minorHAnsi"/>
          <w:sz w:val="19"/>
          <w:szCs w:val="19"/>
        </w:rPr>
        <w:t>jasleni</w:t>
      </w:r>
      <w:proofErr w:type="spellEnd"/>
      <w:r>
        <w:rPr>
          <w:rFonts w:asciiTheme="minorHAnsi" w:hAnsiTheme="minorHAnsi"/>
          <w:sz w:val="19"/>
          <w:szCs w:val="19"/>
        </w:rPr>
        <w:t xml:space="preserve"> </w:t>
      </w:r>
      <w:proofErr w:type="spellStart"/>
      <w:r>
        <w:rPr>
          <w:rFonts w:asciiTheme="minorHAnsi" w:hAnsiTheme="minorHAnsi"/>
          <w:sz w:val="19"/>
          <w:szCs w:val="19"/>
        </w:rPr>
        <w:t>uzrast</w:t>
      </w:r>
      <w:proofErr w:type="spellEnd"/>
      <w:r>
        <w:rPr>
          <w:rFonts w:asciiTheme="minorHAnsi" w:hAnsiTheme="minorHAnsi"/>
          <w:sz w:val="19"/>
          <w:szCs w:val="19"/>
        </w:rPr>
        <w:t xml:space="preserve"> </w:t>
      </w:r>
      <w:proofErr w:type="spellStart"/>
      <w:r>
        <w:rPr>
          <w:rFonts w:asciiTheme="minorHAnsi" w:hAnsiTheme="minorHAnsi"/>
          <w:sz w:val="19"/>
          <w:szCs w:val="19"/>
        </w:rPr>
        <w:t>sa</w:t>
      </w:r>
      <w:proofErr w:type="spellEnd"/>
      <w:r>
        <w:rPr>
          <w:rFonts w:asciiTheme="minorHAnsi" w:hAnsiTheme="minorHAnsi"/>
          <w:sz w:val="19"/>
          <w:szCs w:val="19"/>
        </w:rPr>
        <w:t xml:space="preserve"> </w:t>
      </w:r>
      <w:proofErr w:type="spellStart"/>
      <w:r>
        <w:rPr>
          <w:rFonts w:asciiTheme="minorHAnsi" w:hAnsiTheme="minorHAnsi"/>
          <w:sz w:val="19"/>
          <w:szCs w:val="19"/>
        </w:rPr>
        <w:t>samo</w:t>
      </w:r>
      <w:proofErr w:type="spellEnd"/>
      <w:r>
        <w:rPr>
          <w:rFonts w:asciiTheme="minorHAnsi" w:hAnsiTheme="minorHAnsi"/>
          <w:sz w:val="19"/>
          <w:szCs w:val="19"/>
        </w:rPr>
        <w:t xml:space="preserve"> 13% u 2010. </w:t>
      </w:r>
      <w:proofErr w:type="spellStart"/>
      <w:r>
        <w:rPr>
          <w:rFonts w:asciiTheme="minorHAnsi" w:hAnsiTheme="minorHAnsi"/>
          <w:sz w:val="19"/>
          <w:szCs w:val="19"/>
        </w:rPr>
        <w:t>Godini</w:t>
      </w:r>
      <w:proofErr w:type="spellEnd"/>
      <w:r>
        <w:rPr>
          <w:rFonts w:asciiTheme="minorHAnsi" w:hAnsiTheme="minorHAnsi"/>
          <w:sz w:val="19"/>
          <w:szCs w:val="19"/>
        </w:rPr>
        <w:t xml:space="preserve"> </w:t>
      </w:r>
      <w:proofErr w:type="spellStart"/>
      <w:r>
        <w:rPr>
          <w:rFonts w:asciiTheme="minorHAnsi" w:hAnsiTheme="minorHAnsi"/>
          <w:sz w:val="19"/>
          <w:szCs w:val="19"/>
        </w:rPr>
        <w:t>na</w:t>
      </w:r>
      <w:proofErr w:type="spellEnd"/>
      <w:r>
        <w:rPr>
          <w:rFonts w:asciiTheme="minorHAnsi" w:hAnsiTheme="minorHAnsi"/>
          <w:sz w:val="19"/>
          <w:szCs w:val="19"/>
        </w:rPr>
        <w:t xml:space="preserve"> </w:t>
      </w:r>
      <w:proofErr w:type="spellStart"/>
      <w:r>
        <w:rPr>
          <w:rFonts w:asciiTheme="minorHAnsi" w:hAnsiTheme="minorHAnsi"/>
          <w:sz w:val="19"/>
          <w:szCs w:val="19"/>
        </w:rPr>
        <w:t>preko</w:t>
      </w:r>
      <w:proofErr w:type="spellEnd"/>
      <w:r>
        <w:rPr>
          <w:rFonts w:asciiTheme="minorHAnsi" w:hAnsiTheme="minorHAnsi"/>
          <w:sz w:val="19"/>
          <w:szCs w:val="19"/>
        </w:rPr>
        <w:t xml:space="preserve"> 28% u 2019., za </w:t>
      </w:r>
      <w:proofErr w:type="spellStart"/>
      <w:r>
        <w:rPr>
          <w:rFonts w:asciiTheme="minorHAnsi" w:hAnsiTheme="minorHAnsi"/>
          <w:sz w:val="19"/>
          <w:szCs w:val="19"/>
        </w:rPr>
        <w:t>uzrast</w:t>
      </w:r>
      <w:proofErr w:type="spellEnd"/>
      <w:r>
        <w:rPr>
          <w:rFonts w:asciiTheme="minorHAnsi" w:hAnsiTheme="minorHAnsi"/>
          <w:sz w:val="19"/>
          <w:szCs w:val="19"/>
        </w:rPr>
        <w:t xml:space="preserve"> 3 </w:t>
      </w:r>
      <w:proofErr w:type="spellStart"/>
      <w:r>
        <w:rPr>
          <w:rFonts w:asciiTheme="minorHAnsi" w:hAnsiTheme="minorHAnsi"/>
          <w:sz w:val="19"/>
          <w:szCs w:val="19"/>
        </w:rPr>
        <w:t>godine</w:t>
      </w:r>
      <w:proofErr w:type="spellEnd"/>
      <w:r>
        <w:rPr>
          <w:rFonts w:asciiTheme="minorHAnsi" w:hAnsiTheme="minorHAnsi"/>
          <w:sz w:val="19"/>
          <w:szCs w:val="19"/>
        </w:rPr>
        <w:t xml:space="preserve"> do </w:t>
      </w:r>
      <w:proofErr w:type="spellStart"/>
      <w:r>
        <w:rPr>
          <w:rFonts w:asciiTheme="minorHAnsi" w:hAnsiTheme="minorHAnsi"/>
          <w:sz w:val="19"/>
          <w:szCs w:val="19"/>
        </w:rPr>
        <w:t>polaska</w:t>
      </w:r>
      <w:proofErr w:type="spellEnd"/>
      <w:r>
        <w:rPr>
          <w:rFonts w:asciiTheme="minorHAnsi" w:hAnsiTheme="minorHAnsi"/>
          <w:sz w:val="19"/>
          <w:szCs w:val="19"/>
        </w:rPr>
        <w:t xml:space="preserve"> u PPP </w:t>
      </w:r>
      <w:proofErr w:type="spellStart"/>
      <w:r>
        <w:rPr>
          <w:rFonts w:asciiTheme="minorHAnsi" w:hAnsiTheme="minorHAnsi"/>
          <w:sz w:val="19"/>
          <w:szCs w:val="19"/>
        </w:rPr>
        <w:t>sa</w:t>
      </w:r>
      <w:proofErr w:type="spellEnd"/>
      <w:r>
        <w:rPr>
          <w:rFonts w:asciiTheme="minorHAnsi" w:hAnsiTheme="minorHAnsi"/>
          <w:sz w:val="19"/>
          <w:szCs w:val="19"/>
        </w:rPr>
        <w:t xml:space="preserve"> </w:t>
      </w:r>
      <w:proofErr w:type="spellStart"/>
      <w:r>
        <w:rPr>
          <w:rFonts w:asciiTheme="minorHAnsi" w:hAnsiTheme="minorHAnsi"/>
          <w:sz w:val="19"/>
          <w:szCs w:val="19"/>
        </w:rPr>
        <w:t>samo</w:t>
      </w:r>
      <w:proofErr w:type="spellEnd"/>
      <w:r>
        <w:rPr>
          <w:rFonts w:asciiTheme="minorHAnsi" w:hAnsiTheme="minorHAnsi"/>
          <w:sz w:val="19"/>
          <w:szCs w:val="19"/>
        </w:rPr>
        <w:t xml:space="preserve"> 47% u 2010. </w:t>
      </w:r>
      <w:proofErr w:type="spellStart"/>
      <w:r w:rsidR="00DD5E72">
        <w:rPr>
          <w:rFonts w:asciiTheme="minorHAnsi" w:hAnsiTheme="minorHAnsi"/>
          <w:sz w:val="19"/>
          <w:szCs w:val="19"/>
        </w:rPr>
        <w:t>g</w:t>
      </w:r>
      <w:r>
        <w:rPr>
          <w:rFonts w:asciiTheme="minorHAnsi" w:hAnsiTheme="minorHAnsi"/>
          <w:sz w:val="19"/>
          <w:szCs w:val="19"/>
        </w:rPr>
        <w:t>odini</w:t>
      </w:r>
      <w:proofErr w:type="spellEnd"/>
      <w:r>
        <w:rPr>
          <w:rFonts w:asciiTheme="minorHAnsi" w:hAnsiTheme="minorHAnsi"/>
          <w:sz w:val="19"/>
          <w:szCs w:val="19"/>
        </w:rPr>
        <w:t xml:space="preserve"> </w:t>
      </w:r>
      <w:proofErr w:type="spellStart"/>
      <w:r>
        <w:rPr>
          <w:rFonts w:asciiTheme="minorHAnsi" w:hAnsiTheme="minorHAnsi"/>
          <w:sz w:val="19"/>
          <w:szCs w:val="19"/>
        </w:rPr>
        <w:t>na</w:t>
      </w:r>
      <w:proofErr w:type="spellEnd"/>
      <w:r>
        <w:rPr>
          <w:rFonts w:asciiTheme="minorHAnsi" w:hAnsiTheme="minorHAnsi"/>
          <w:sz w:val="19"/>
          <w:szCs w:val="19"/>
        </w:rPr>
        <w:t xml:space="preserve"> 6</w:t>
      </w:r>
      <w:r w:rsidR="00DD5E72">
        <w:rPr>
          <w:rFonts w:asciiTheme="minorHAnsi" w:hAnsiTheme="minorHAnsi"/>
          <w:sz w:val="19"/>
          <w:szCs w:val="19"/>
        </w:rPr>
        <w:t>6</w:t>
      </w:r>
      <w:r>
        <w:rPr>
          <w:rFonts w:asciiTheme="minorHAnsi" w:hAnsiTheme="minorHAnsi"/>
          <w:sz w:val="19"/>
          <w:szCs w:val="19"/>
        </w:rPr>
        <w:t xml:space="preserve">% u 2019. </w:t>
      </w:r>
      <w:proofErr w:type="spellStart"/>
      <w:r>
        <w:rPr>
          <w:rFonts w:asciiTheme="minorHAnsi" w:hAnsiTheme="minorHAnsi"/>
          <w:sz w:val="19"/>
          <w:szCs w:val="19"/>
        </w:rPr>
        <w:t>Godini</w:t>
      </w:r>
      <w:proofErr w:type="spellEnd"/>
      <w:r>
        <w:rPr>
          <w:rFonts w:asciiTheme="minorHAnsi" w:hAnsiTheme="minorHAnsi"/>
          <w:sz w:val="19"/>
          <w:szCs w:val="19"/>
        </w:rPr>
        <w:t xml:space="preserve">, a </w:t>
      </w:r>
      <w:proofErr w:type="spellStart"/>
      <w:r>
        <w:rPr>
          <w:rFonts w:asciiTheme="minorHAnsi" w:hAnsiTheme="minorHAnsi"/>
          <w:sz w:val="19"/>
          <w:szCs w:val="19"/>
        </w:rPr>
        <w:t>obuhvat</w:t>
      </w:r>
      <w:proofErr w:type="spellEnd"/>
      <w:r>
        <w:rPr>
          <w:rFonts w:asciiTheme="minorHAnsi" w:hAnsiTheme="minorHAnsi"/>
          <w:sz w:val="19"/>
          <w:szCs w:val="19"/>
        </w:rPr>
        <w:t xml:space="preserve"> PPP </w:t>
      </w:r>
      <w:proofErr w:type="spellStart"/>
      <w:r>
        <w:rPr>
          <w:rFonts w:asciiTheme="minorHAnsi" w:hAnsiTheme="minorHAnsi"/>
          <w:sz w:val="19"/>
          <w:szCs w:val="19"/>
        </w:rPr>
        <w:t>porastao</w:t>
      </w:r>
      <w:proofErr w:type="spellEnd"/>
      <w:r>
        <w:rPr>
          <w:rFonts w:asciiTheme="minorHAnsi" w:hAnsiTheme="minorHAnsi"/>
          <w:sz w:val="19"/>
          <w:szCs w:val="19"/>
        </w:rPr>
        <w:t xml:space="preserve"> je </w:t>
      </w:r>
      <w:proofErr w:type="spellStart"/>
      <w:r>
        <w:rPr>
          <w:rFonts w:asciiTheme="minorHAnsi" w:hAnsiTheme="minorHAnsi"/>
          <w:sz w:val="19"/>
          <w:szCs w:val="19"/>
        </w:rPr>
        <w:t>sa</w:t>
      </w:r>
      <w:proofErr w:type="spellEnd"/>
      <w:r>
        <w:rPr>
          <w:rFonts w:asciiTheme="minorHAnsi" w:hAnsiTheme="minorHAnsi"/>
          <w:sz w:val="19"/>
          <w:szCs w:val="19"/>
        </w:rPr>
        <w:t xml:space="preserve"> </w:t>
      </w:r>
      <w:r w:rsidR="00DD5E72">
        <w:rPr>
          <w:rFonts w:asciiTheme="minorHAnsi" w:hAnsiTheme="minorHAnsi"/>
          <w:sz w:val="19"/>
          <w:szCs w:val="19"/>
        </w:rPr>
        <w:t xml:space="preserve">87% u 2010. </w:t>
      </w:r>
      <w:proofErr w:type="spellStart"/>
      <w:r w:rsidR="00DD5E72">
        <w:rPr>
          <w:rFonts w:asciiTheme="minorHAnsi" w:hAnsiTheme="minorHAnsi"/>
          <w:sz w:val="19"/>
          <w:szCs w:val="19"/>
        </w:rPr>
        <w:t>Godini</w:t>
      </w:r>
      <w:proofErr w:type="spellEnd"/>
      <w:r w:rsidR="00DD5E72">
        <w:rPr>
          <w:rFonts w:asciiTheme="minorHAnsi" w:hAnsiTheme="minorHAnsi"/>
          <w:sz w:val="19"/>
          <w:szCs w:val="19"/>
        </w:rPr>
        <w:t xml:space="preserve"> </w:t>
      </w:r>
      <w:proofErr w:type="spellStart"/>
      <w:r w:rsidR="00DD5E72">
        <w:rPr>
          <w:rFonts w:asciiTheme="minorHAnsi" w:hAnsiTheme="minorHAnsi"/>
          <w:sz w:val="19"/>
          <w:szCs w:val="19"/>
        </w:rPr>
        <w:t>porastao</w:t>
      </w:r>
      <w:proofErr w:type="spellEnd"/>
      <w:r w:rsidR="00DD5E72">
        <w:rPr>
          <w:rFonts w:asciiTheme="minorHAnsi" w:hAnsiTheme="minorHAnsi"/>
          <w:sz w:val="19"/>
          <w:szCs w:val="19"/>
        </w:rPr>
        <w:t xml:space="preserve"> je </w:t>
      </w:r>
      <w:proofErr w:type="spellStart"/>
      <w:r w:rsidR="00DD5E72">
        <w:rPr>
          <w:rFonts w:asciiTheme="minorHAnsi" w:hAnsiTheme="minorHAnsi"/>
          <w:sz w:val="19"/>
          <w:szCs w:val="19"/>
        </w:rPr>
        <w:t>na</w:t>
      </w:r>
      <w:proofErr w:type="spellEnd"/>
      <w:r w:rsidR="00DD5E72">
        <w:rPr>
          <w:rFonts w:asciiTheme="minorHAnsi" w:hAnsiTheme="minorHAnsi"/>
          <w:sz w:val="19"/>
          <w:szCs w:val="19"/>
        </w:rPr>
        <w:t xml:space="preserve"> </w:t>
      </w:r>
      <w:proofErr w:type="spellStart"/>
      <w:r w:rsidR="00DD5E72">
        <w:rPr>
          <w:rFonts w:asciiTheme="minorHAnsi" w:hAnsiTheme="minorHAnsi"/>
          <w:sz w:val="19"/>
          <w:szCs w:val="19"/>
        </w:rPr>
        <w:t>preko</w:t>
      </w:r>
      <w:proofErr w:type="spellEnd"/>
      <w:r w:rsidR="00DD5E72">
        <w:rPr>
          <w:rFonts w:asciiTheme="minorHAnsi" w:hAnsiTheme="minorHAnsi"/>
          <w:sz w:val="19"/>
          <w:szCs w:val="19"/>
        </w:rPr>
        <w:t xml:space="preserve"> 97% u 2019. I </w:t>
      </w:r>
      <w:proofErr w:type="spellStart"/>
      <w:r w:rsidR="00DD5E72">
        <w:rPr>
          <w:rFonts w:asciiTheme="minorHAnsi" w:hAnsiTheme="minorHAnsi"/>
          <w:sz w:val="19"/>
          <w:szCs w:val="19"/>
        </w:rPr>
        <w:t>pored</w:t>
      </w:r>
      <w:proofErr w:type="spellEnd"/>
      <w:r w:rsidR="00DD5E72">
        <w:rPr>
          <w:rFonts w:asciiTheme="minorHAnsi" w:hAnsiTheme="minorHAnsi"/>
          <w:sz w:val="19"/>
          <w:szCs w:val="19"/>
        </w:rPr>
        <w:t xml:space="preserve"> toga </w:t>
      </w:r>
      <w:proofErr w:type="spellStart"/>
      <w:r w:rsidR="00DD5E72">
        <w:rPr>
          <w:rFonts w:asciiTheme="minorHAnsi" w:hAnsiTheme="minorHAnsi"/>
          <w:sz w:val="19"/>
          <w:szCs w:val="19"/>
        </w:rPr>
        <w:t>obuhvat</w:t>
      </w:r>
      <w:proofErr w:type="spellEnd"/>
      <w:r w:rsidR="00DD5E72">
        <w:rPr>
          <w:rFonts w:asciiTheme="minorHAnsi" w:hAnsiTheme="minorHAnsi"/>
          <w:sz w:val="19"/>
          <w:szCs w:val="19"/>
        </w:rPr>
        <w:t xml:space="preserve"> PVO </w:t>
      </w:r>
      <w:r w:rsidRPr="003130B7">
        <w:rPr>
          <w:rFonts w:asciiTheme="minorHAnsi" w:hAnsiTheme="minorHAnsi"/>
          <w:sz w:val="19"/>
          <w:szCs w:val="19"/>
        </w:rPr>
        <w:t xml:space="preserve">u </w:t>
      </w:r>
      <w:proofErr w:type="spellStart"/>
      <w:r w:rsidRPr="003130B7">
        <w:rPr>
          <w:rFonts w:asciiTheme="minorHAnsi" w:hAnsiTheme="minorHAnsi"/>
          <w:sz w:val="19"/>
          <w:szCs w:val="19"/>
        </w:rPr>
        <w:t>Srbiji</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i</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dalje</w:t>
      </w:r>
      <w:proofErr w:type="spellEnd"/>
      <w:r w:rsidR="00DD5E72">
        <w:rPr>
          <w:rFonts w:asciiTheme="minorHAnsi" w:hAnsiTheme="minorHAnsi"/>
          <w:sz w:val="19"/>
          <w:szCs w:val="19"/>
        </w:rPr>
        <w:t xml:space="preserve"> je</w:t>
      </w:r>
      <w:r w:rsidRPr="003130B7">
        <w:rPr>
          <w:rFonts w:asciiTheme="minorHAnsi" w:hAnsiTheme="minorHAnsi"/>
          <w:sz w:val="19"/>
          <w:szCs w:val="19"/>
        </w:rPr>
        <w:t xml:space="preserve"> </w:t>
      </w:r>
      <w:proofErr w:type="spellStart"/>
      <w:r w:rsidRPr="003130B7">
        <w:rPr>
          <w:rFonts w:asciiTheme="minorHAnsi" w:hAnsiTheme="minorHAnsi"/>
          <w:sz w:val="19"/>
          <w:szCs w:val="19"/>
        </w:rPr>
        <w:t>značajno</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niži</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nego</w:t>
      </w:r>
      <w:proofErr w:type="spellEnd"/>
      <w:r w:rsidRPr="003130B7">
        <w:rPr>
          <w:rFonts w:asciiTheme="minorHAnsi" w:hAnsiTheme="minorHAnsi"/>
          <w:sz w:val="19"/>
          <w:szCs w:val="19"/>
        </w:rPr>
        <w:t xml:space="preserve"> u </w:t>
      </w:r>
      <w:proofErr w:type="spellStart"/>
      <w:r w:rsidRPr="003130B7">
        <w:rPr>
          <w:rFonts w:asciiTheme="minorHAnsi" w:hAnsiTheme="minorHAnsi"/>
          <w:sz w:val="19"/>
          <w:szCs w:val="19"/>
        </w:rPr>
        <w:t>zemljama</w:t>
      </w:r>
      <w:proofErr w:type="spellEnd"/>
      <w:r w:rsidRPr="003130B7">
        <w:rPr>
          <w:rFonts w:asciiTheme="minorHAnsi" w:hAnsiTheme="minorHAnsi"/>
          <w:sz w:val="19"/>
          <w:szCs w:val="19"/>
        </w:rPr>
        <w:t xml:space="preserve"> EU </w:t>
      </w:r>
      <w:proofErr w:type="spellStart"/>
      <w:r w:rsidRPr="003130B7">
        <w:rPr>
          <w:rFonts w:asciiTheme="minorHAnsi" w:hAnsiTheme="minorHAnsi"/>
          <w:sz w:val="19"/>
          <w:szCs w:val="19"/>
        </w:rPr>
        <w:t>gde</w:t>
      </w:r>
      <w:proofErr w:type="spellEnd"/>
      <w:r w:rsidRPr="003130B7">
        <w:rPr>
          <w:rFonts w:asciiTheme="minorHAnsi" w:hAnsiTheme="minorHAnsi"/>
          <w:sz w:val="19"/>
          <w:szCs w:val="19"/>
        </w:rPr>
        <w:t xml:space="preserve"> je za </w:t>
      </w:r>
      <w:proofErr w:type="spellStart"/>
      <w:r w:rsidRPr="003130B7">
        <w:rPr>
          <w:rFonts w:asciiTheme="minorHAnsi" w:hAnsiTheme="minorHAnsi"/>
          <w:sz w:val="19"/>
          <w:szCs w:val="19"/>
        </w:rPr>
        <w:t>uzrast</w:t>
      </w:r>
      <w:proofErr w:type="spellEnd"/>
      <w:r w:rsidRPr="003130B7">
        <w:rPr>
          <w:rFonts w:asciiTheme="minorHAnsi" w:hAnsiTheme="minorHAnsi"/>
          <w:sz w:val="19"/>
          <w:szCs w:val="19"/>
        </w:rPr>
        <w:t xml:space="preserve"> 4+ </w:t>
      </w:r>
      <w:proofErr w:type="spellStart"/>
      <w:r w:rsidRPr="003130B7">
        <w:rPr>
          <w:rFonts w:asciiTheme="minorHAnsi" w:hAnsiTheme="minorHAnsi"/>
          <w:sz w:val="19"/>
          <w:szCs w:val="19"/>
        </w:rPr>
        <w:t>još</w:t>
      </w:r>
      <w:proofErr w:type="spellEnd"/>
      <w:r w:rsidRPr="003130B7">
        <w:rPr>
          <w:rFonts w:asciiTheme="minorHAnsi" w:hAnsiTheme="minorHAnsi"/>
          <w:sz w:val="19"/>
          <w:szCs w:val="19"/>
        </w:rPr>
        <w:t xml:space="preserve"> u 2012. </w:t>
      </w:r>
      <w:proofErr w:type="spellStart"/>
      <w:r w:rsidRPr="003130B7">
        <w:rPr>
          <w:rFonts w:asciiTheme="minorHAnsi" w:hAnsiTheme="minorHAnsi"/>
          <w:sz w:val="19"/>
          <w:szCs w:val="19"/>
        </w:rPr>
        <w:t>godini</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iznosio</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čak</w:t>
      </w:r>
      <w:proofErr w:type="spellEnd"/>
      <w:r w:rsidRPr="003130B7">
        <w:rPr>
          <w:rFonts w:asciiTheme="minorHAnsi" w:hAnsiTheme="minorHAnsi"/>
          <w:sz w:val="19"/>
          <w:szCs w:val="19"/>
        </w:rPr>
        <w:t xml:space="preserve"> 94% </w:t>
      </w:r>
    </w:p>
    <w:p w14:paraId="6B5D4AF2" w14:textId="77777777" w:rsidR="00DB5D24" w:rsidRPr="003130B7" w:rsidRDefault="00DB5D24" w:rsidP="00DB5D24">
      <w:pPr>
        <w:pBdr>
          <w:top w:val="single" w:sz="4" w:space="1" w:color="auto"/>
          <w:left w:val="single" w:sz="4" w:space="4" w:color="auto"/>
          <w:bottom w:val="single" w:sz="4" w:space="1" w:color="auto"/>
          <w:right w:val="single" w:sz="4" w:space="4" w:color="auto"/>
        </w:pBdr>
        <w:jc w:val="both"/>
        <w:rPr>
          <w:rFonts w:asciiTheme="minorHAnsi" w:hAnsiTheme="minorHAnsi"/>
          <w:sz w:val="19"/>
          <w:szCs w:val="19"/>
        </w:rPr>
      </w:pPr>
    </w:p>
    <w:p w14:paraId="7511146E" w14:textId="4EC375C0" w:rsidR="00DB5D24" w:rsidRPr="006C0D54" w:rsidRDefault="00DB5D24" w:rsidP="000E732A">
      <w:pPr>
        <w:pBdr>
          <w:top w:val="single" w:sz="4" w:space="1" w:color="auto"/>
          <w:left w:val="single" w:sz="4" w:space="4" w:color="auto"/>
          <w:bottom w:val="single" w:sz="4" w:space="1" w:color="auto"/>
          <w:right w:val="single" w:sz="4" w:space="4" w:color="auto"/>
        </w:pBdr>
        <w:jc w:val="both"/>
        <w:rPr>
          <w:rFonts w:asciiTheme="minorHAnsi" w:hAnsiTheme="minorHAnsi"/>
          <w:b/>
          <w:i/>
          <w:sz w:val="19"/>
          <w:szCs w:val="19"/>
        </w:rPr>
      </w:pPr>
      <w:proofErr w:type="spellStart"/>
      <w:r w:rsidRPr="003130B7">
        <w:rPr>
          <w:rFonts w:asciiTheme="minorHAnsi" w:hAnsiTheme="minorHAnsi"/>
          <w:sz w:val="19"/>
          <w:szCs w:val="19"/>
        </w:rPr>
        <w:t>Strateško</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opredeljenje</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Srbije</w:t>
      </w:r>
      <w:proofErr w:type="spellEnd"/>
      <w:r w:rsidRPr="003130B7">
        <w:rPr>
          <w:rFonts w:asciiTheme="minorHAnsi" w:hAnsiTheme="minorHAnsi"/>
          <w:sz w:val="19"/>
          <w:szCs w:val="19"/>
        </w:rPr>
        <w:t xml:space="preserve"> je </w:t>
      </w:r>
      <w:proofErr w:type="spellStart"/>
      <w:r w:rsidRPr="003130B7">
        <w:rPr>
          <w:rFonts w:asciiTheme="minorHAnsi" w:hAnsiTheme="minorHAnsi"/>
          <w:sz w:val="19"/>
          <w:szCs w:val="19"/>
        </w:rPr>
        <w:t>povećanje</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obuhvata</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dece</w:t>
      </w:r>
      <w:proofErr w:type="spellEnd"/>
      <w:r w:rsidRPr="003130B7">
        <w:rPr>
          <w:rFonts w:asciiTheme="minorHAnsi" w:hAnsiTheme="minorHAnsi"/>
          <w:sz w:val="19"/>
          <w:szCs w:val="19"/>
        </w:rPr>
        <w:t xml:space="preserve"> PVO </w:t>
      </w:r>
      <w:proofErr w:type="spellStart"/>
      <w:r w:rsidRPr="003130B7">
        <w:rPr>
          <w:rFonts w:asciiTheme="minorHAnsi" w:hAnsiTheme="minorHAnsi"/>
          <w:sz w:val="19"/>
          <w:szCs w:val="19"/>
        </w:rPr>
        <w:t>i</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potpun</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obuhvat</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dece</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starije</w:t>
      </w:r>
      <w:proofErr w:type="spellEnd"/>
      <w:r w:rsidRPr="003130B7">
        <w:rPr>
          <w:rFonts w:asciiTheme="minorHAnsi" w:hAnsiTheme="minorHAnsi"/>
          <w:sz w:val="19"/>
          <w:szCs w:val="19"/>
        </w:rPr>
        <w:t xml:space="preserve"> od 4 </w:t>
      </w:r>
      <w:proofErr w:type="spellStart"/>
      <w:r w:rsidRPr="003130B7">
        <w:rPr>
          <w:rFonts w:asciiTheme="minorHAnsi" w:hAnsiTheme="minorHAnsi"/>
          <w:sz w:val="19"/>
          <w:szCs w:val="19"/>
        </w:rPr>
        <w:t>godine</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Strategijom</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obrazovanja</w:t>
      </w:r>
      <w:proofErr w:type="spellEnd"/>
      <w:r w:rsidRPr="003130B7">
        <w:rPr>
          <w:rFonts w:asciiTheme="minorHAnsi" w:hAnsiTheme="minorHAnsi"/>
          <w:sz w:val="19"/>
          <w:szCs w:val="19"/>
        </w:rPr>
        <w:t xml:space="preserve"> do 2020. </w:t>
      </w:r>
      <w:proofErr w:type="spellStart"/>
      <w:r w:rsidRPr="003130B7">
        <w:rPr>
          <w:rFonts w:asciiTheme="minorHAnsi" w:hAnsiTheme="minorHAnsi"/>
          <w:sz w:val="19"/>
          <w:szCs w:val="19"/>
        </w:rPr>
        <w:t>godine</w:t>
      </w:r>
      <w:proofErr w:type="spellEnd"/>
      <w:r w:rsidRPr="003130B7">
        <w:rPr>
          <w:rFonts w:asciiTheme="minorHAnsi" w:hAnsiTheme="minorHAnsi"/>
          <w:sz w:val="19"/>
          <w:szCs w:val="19"/>
        </w:rPr>
        <w:t xml:space="preserve"> je </w:t>
      </w:r>
      <w:proofErr w:type="spellStart"/>
      <w:r w:rsidRPr="003130B7">
        <w:rPr>
          <w:rFonts w:asciiTheme="minorHAnsi" w:hAnsiTheme="minorHAnsi"/>
          <w:sz w:val="19"/>
          <w:szCs w:val="19"/>
        </w:rPr>
        <w:t>predviđeno</w:t>
      </w:r>
      <w:proofErr w:type="spellEnd"/>
      <w:r w:rsidRPr="003130B7">
        <w:rPr>
          <w:rFonts w:asciiTheme="minorHAnsi" w:hAnsiTheme="minorHAnsi"/>
          <w:sz w:val="19"/>
          <w:szCs w:val="19"/>
        </w:rPr>
        <w:t xml:space="preserve"> da </w:t>
      </w:r>
      <w:proofErr w:type="spellStart"/>
      <w:r w:rsidRPr="003130B7">
        <w:rPr>
          <w:rFonts w:asciiTheme="minorHAnsi" w:hAnsiTheme="minorHAnsi"/>
          <w:sz w:val="19"/>
          <w:szCs w:val="19"/>
        </w:rPr>
        <w:t>obuhvat</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dece</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uzrasta</w:t>
      </w:r>
      <w:proofErr w:type="spellEnd"/>
      <w:r w:rsidRPr="003130B7">
        <w:rPr>
          <w:rFonts w:asciiTheme="minorHAnsi" w:hAnsiTheme="minorHAnsi"/>
          <w:sz w:val="19"/>
          <w:szCs w:val="19"/>
        </w:rPr>
        <w:t xml:space="preserve"> od 0,5 – 3 </w:t>
      </w:r>
      <w:proofErr w:type="spellStart"/>
      <w:r w:rsidRPr="003130B7">
        <w:rPr>
          <w:rFonts w:asciiTheme="minorHAnsi" w:hAnsiTheme="minorHAnsi"/>
          <w:sz w:val="19"/>
          <w:szCs w:val="19"/>
        </w:rPr>
        <w:t>godina</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iznosi</w:t>
      </w:r>
      <w:proofErr w:type="spellEnd"/>
      <w:r w:rsidRPr="003130B7">
        <w:rPr>
          <w:rFonts w:asciiTheme="minorHAnsi" w:hAnsiTheme="minorHAnsi"/>
          <w:sz w:val="19"/>
          <w:szCs w:val="19"/>
        </w:rPr>
        <w:t xml:space="preserve"> 30%; da se za </w:t>
      </w:r>
      <w:proofErr w:type="spellStart"/>
      <w:r w:rsidRPr="003130B7">
        <w:rPr>
          <w:rFonts w:asciiTheme="minorHAnsi" w:hAnsiTheme="minorHAnsi"/>
          <w:sz w:val="19"/>
          <w:szCs w:val="19"/>
        </w:rPr>
        <w:t>svu</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decu</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uzrasta</w:t>
      </w:r>
      <w:proofErr w:type="spellEnd"/>
      <w:r w:rsidRPr="003130B7">
        <w:rPr>
          <w:rFonts w:asciiTheme="minorHAnsi" w:hAnsiTheme="minorHAnsi"/>
          <w:sz w:val="19"/>
          <w:szCs w:val="19"/>
        </w:rPr>
        <w:t xml:space="preserve"> od 4 – 5,5 </w:t>
      </w:r>
      <w:proofErr w:type="spellStart"/>
      <w:r w:rsidRPr="003130B7">
        <w:rPr>
          <w:rFonts w:asciiTheme="minorHAnsi" w:hAnsiTheme="minorHAnsi"/>
          <w:sz w:val="19"/>
          <w:szCs w:val="19"/>
        </w:rPr>
        <w:t>godina</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obezbede</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besplatni</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skraćeni</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poludnevni</w:t>
      </w:r>
      <w:proofErr w:type="spellEnd"/>
      <w:r w:rsidRPr="003130B7">
        <w:rPr>
          <w:rFonts w:asciiTheme="minorHAnsi" w:hAnsiTheme="minorHAnsi"/>
          <w:sz w:val="19"/>
          <w:szCs w:val="19"/>
        </w:rPr>
        <w:t xml:space="preserve">) program u </w:t>
      </w:r>
      <w:proofErr w:type="spellStart"/>
      <w:r w:rsidRPr="003130B7">
        <w:rPr>
          <w:rFonts w:asciiTheme="minorHAnsi" w:hAnsiTheme="minorHAnsi"/>
          <w:sz w:val="19"/>
          <w:szCs w:val="19"/>
        </w:rPr>
        <w:t>toku</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jedne</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školske</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godine</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što</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znači</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potpun</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oubhvat</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dece</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tog</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uzrasta</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i</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potpuni</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obuhvat</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dece</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uzrasta</w:t>
      </w:r>
      <w:proofErr w:type="spellEnd"/>
      <w:r w:rsidRPr="003130B7">
        <w:rPr>
          <w:rFonts w:asciiTheme="minorHAnsi" w:hAnsiTheme="minorHAnsi"/>
          <w:sz w:val="19"/>
          <w:szCs w:val="19"/>
        </w:rPr>
        <w:t xml:space="preserve"> od 5,5 – 6,5 </w:t>
      </w:r>
      <w:proofErr w:type="spellStart"/>
      <w:r w:rsidRPr="003130B7">
        <w:rPr>
          <w:rFonts w:asciiTheme="minorHAnsi" w:hAnsiTheme="minorHAnsi"/>
          <w:sz w:val="19"/>
          <w:szCs w:val="19"/>
        </w:rPr>
        <w:t>godina</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uključenih</w:t>
      </w:r>
      <w:proofErr w:type="spellEnd"/>
      <w:r w:rsidRPr="003130B7">
        <w:rPr>
          <w:rFonts w:asciiTheme="minorHAnsi" w:hAnsiTheme="minorHAnsi"/>
          <w:sz w:val="19"/>
          <w:szCs w:val="19"/>
        </w:rPr>
        <w:t xml:space="preserve"> u </w:t>
      </w:r>
      <w:proofErr w:type="spellStart"/>
      <w:r w:rsidRPr="003130B7">
        <w:rPr>
          <w:rFonts w:asciiTheme="minorHAnsi" w:hAnsiTheme="minorHAnsi"/>
          <w:sz w:val="19"/>
          <w:szCs w:val="19"/>
        </w:rPr>
        <w:t>pripremni</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predškolski</w:t>
      </w:r>
      <w:proofErr w:type="spellEnd"/>
      <w:r w:rsidRPr="003130B7">
        <w:rPr>
          <w:rFonts w:asciiTheme="minorHAnsi" w:hAnsiTheme="minorHAnsi"/>
          <w:sz w:val="19"/>
          <w:szCs w:val="19"/>
        </w:rPr>
        <w:t xml:space="preserve"> program. </w:t>
      </w:r>
      <w:proofErr w:type="spellStart"/>
      <w:r w:rsidRPr="003130B7">
        <w:rPr>
          <w:rFonts w:asciiTheme="minorHAnsi" w:hAnsiTheme="minorHAnsi"/>
          <w:sz w:val="19"/>
          <w:szCs w:val="19"/>
        </w:rPr>
        <w:t>Takođe</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predviđen</w:t>
      </w:r>
      <w:proofErr w:type="spellEnd"/>
      <w:r w:rsidRPr="003130B7">
        <w:rPr>
          <w:rFonts w:asciiTheme="minorHAnsi" w:hAnsiTheme="minorHAnsi"/>
          <w:sz w:val="19"/>
          <w:szCs w:val="19"/>
        </w:rPr>
        <w:t xml:space="preserve"> je </w:t>
      </w:r>
      <w:proofErr w:type="spellStart"/>
      <w:r w:rsidRPr="003130B7">
        <w:rPr>
          <w:rFonts w:asciiTheme="minorHAnsi" w:hAnsiTheme="minorHAnsi"/>
          <w:sz w:val="19"/>
          <w:szCs w:val="19"/>
        </w:rPr>
        <w:t>znatno</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pravičniji</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sistem</w:t>
      </w:r>
      <w:proofErr w:type="spellEnd"/>
      <w:r w:rsidRPr="003130B7">
        <w:rPr>
          <w:rFonts w:asciiTheme="minorHAnsi" w:hAnsiTheme="minorHAnsi"/>
          <w:sz w:val="19"/>
          <w:szCs w:val="19"/>
        </w:rPr>
        <w:t xml:space="preserve"> koji </w:t>
      </w:r>
      <w:proofErr w:type="spellStart"/>
      <w:r w:rsidRPr="003130B7">
        <w:rPr>
          <w:rFonts w:asciiTheme="minorHAnsi" w:hAnsiTheme="minorHAnsi"/>
          <w:sz w:val="19"/>
          <w:szCs w:val="19"/>
        </w:rPr>
        <w:t>će</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omogućiti</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značajno</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veći</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obuhvat</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sve</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dece</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i</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posebno</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dece</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iz</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marginalizovanih</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grupa</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koja</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ostvaruju</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pravo</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prioriteta</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pri</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upisu</w:t>
      </w:r>
      <w:proofErr w:type="spellEnd"/>
      <w:r w:rsidRPr="003130B7">
        <w:rPr>
          <w:rFonts w:asciiTheme="minorHAnsi" w:hAnsiTheme="minorHAnsi"/>
          <w:sz w:val="19"/>
          <w:szCs w:val="19"/>
        </w:rPr>
        <w:t xml:space="preserve">. </w:t>
      </w:r>
      <w:proofErr w:type="spellStart"/>
      <w:r w:rsidR="000E732A" w:rsidRPr="003130B7">
        <w:rPr>
          <w:rFonts w:asciiTheme="minorHAnsi" w:hAnsiTheme="minorHAnsi"/>
          <w:sz w:val="19"/>
          <w:szCs w:val="19"/>
        </w:rPr>
        <w:t>Najnoviji</w:t>
      </w:r>
      <w:proofErr w:type="spellEnd"/>
      <w:r w:rsidR="000E732A" w:rsidRPr="003130B7">
        <w:rPr>
          <w:rFonts w:asciiTheme="minorHAnsi" w:hAnsiTheme="minorHAnsi"/>
          <w:sz w:val="19"/>
          <w:szCs w:val="19"/>
        </w:rPr>
        <w:t xml:space="preserve"> </w:t>
      </w:r>
      <w:proofErr w:type="spellStart"/>
      <w:r w:rsidR="000E732A" w:rsidRPr="003130B7">
        <w:rPr>
          <w:rFonts w:asciiTheme="minorHAnsi" w:hAnsiTheme="minorHAnsi"/>
          <w:i/>
          <w:sz w:val="19"/>
          <w:szCs w:val="19"/>
        </w:rPr>
        <w:t>predlog</w:t>
      </w:r>
      <w:proofErr w:type="spellEnd"/>
      <w:r w:rsidR="000E732A" w:rsidRPr="003130B7">
        <w:rPr>
          <w:rFonts w:asciiTheme="minorHAnsi" w:hAnsiTheme="minorHAnsi"/>
          <w:i/>
          <w:sz w:val="19"/>
          <w:szCs w:val="19"/>
        </w:rPr>
        <w:t xml:space="preserve"> </w:t>
      </w:r>
      <w:proofErr w:type="spellStart"/>
      <w:r w:rsidR="000E732A" w:rsidRPr="003130B7">
        <w:rPr>
          <w:rFonts w:asciiTheme="minorHAnsi" w:hAnsiTheme="minorHAnsi"/>
          <w:i/>
          <w:sz w:val="19"/>
          <w:szCs w:val="19"/>
        </w:rPr>
        <w:t>Strategije</w:t>
      </w:r>
      <w:proofErr w:type="spellEnd"/>
      <w:r w:rsidR="006C0D54">
        <w:rPr>
          <w:rFonts w:asciiTheme="minorHAnsi" w:hAnsiTheme="minorHAnsi"/>
          <w:i/>
          <w:sz w:val="19"/>
          <w:szCs w:val="19"/>
        </w:rPr>
        <w:t xml:space="preserve"> </w:t>
      </w:r>
      <w:proofErr w:type="spellStart"/>
      <w:r w:rsidR="000E732A" w:rsidRPr="003130B7">
        <w:rPr>
          <w:rFonts w:asciiTheme="minorHAnsi" w:hAnsiTheme="minorHAnsi"/>
          <w:i/>
          <w:sz w:val="19"/>
          <w:szCs w:val="19"/>
        </w:rPr>
        <w:t>razvoja</w:t>
      </w:r>
      <w:proofErr w:type="spellEnd"/>
      <w:r w:rsidR="000E732A" w:rsidRPr="003130B7">
        <w:rPr>
          <w:rFonts w:asciiTheme="minorHAnsi" w:hAnsiTheme="minorHAnsi"/>
          <w:i/>
          <w:sz w:val="19"/>
          <w:szCs w:val="19"/>
        </w:rPr>
        <w:t xml:space="preserve"> </w:t>
      </w:r>
      <w:proofErr w:type="spellStart"/>
      <w:r w:rsidR="000E732A" w:rsidRPr="003130B7">
        <w:rPr>
          <w:rFonts w:asciiTheme="minorHAnsi" w:hAnsiTheme="minorHAnsi"/>
          <w:i/>
          <w:sz w:val="19"/>
          <w:szCs w:val="19"/>
        </w:rPr>
        <w:t>obrazovanja</w:t>
      </w:r>
      <w:proofErr w:type="spellEnd"/>
      <w:r w:rsidR="000E732A" w:rsidRPr="003130B7">
        <w:rPr>
          <w:rFonts w:asciiTheme="minorHAnsi" w:hAnsiTheme="minorHAnsi"/>
          <w:i/>
          <w:sz w:val="19"/>
          <w:szCs w:val="19"/>
        </w:rPr>
        <w:t xml:space="preserve"> </w:t>
      </w:r>
      <w:proofErr w:type="spellStart"/>
      <w:r w:rsidR="000E732A" w:rsidRPr="003130B7">
        <w:rPr>
          <w:rFonts w:asciiTheme="minorHAnsi" w:hAnsiTheme="minorHAnsi"/>
          <w:i/>
          <w:sz w:val="19"/>
          <w:szCs w:val="19"/>
        </w:rPr>
        <w:t>i</w:t>
      </w:r>
      <w:proofErr w:type="spellEnd"/>
      <w:r w:rsidR="000E732A" w:rsidRPr="003130B7">
        <w:rPr>
          <w:rFonts w:asciiTheme="minorHAnsi" w:hAnsiTheme="minorHAnsi"/>
          <w:i/>
          <w:sz w:val="19"/>
          <w:szCs w:val="19"/>
        </w:rPr>
        <w:t xml:space="preserve"> </w:t>
      </w:r>
      <w:proofErr w:type="spellStart"/>
      <w:r w:rsidR="000E732A" w:rsidRPr="003130B7">
        <w:rPr>
          <w:rFonts w:asciiTheme="minorHAnsi" w:hAnsiTheme="minorHAnsi"/>
          <w:i/>
          <w:sz w:val="19"/>
          <w:szCs w:val="19"/>
        </w:rPr>
        <w:t>vaspitanja</w:t>
      </w:r>
      <w:proofErr w:type="spellEnd"/>
      <w:r w:rsidR="000E732A" w:rsidRPr="003130B7">
        <w:rPr>
          <w:rFonts w:asciiTheme="minorHAnsi" w:hAnsiTheme="minorHAnsi"/>
          <w:i/>
          <w:sz w:val="19"/>
          <w:szCs w:val="19"/>
        </w:rPr>
        <w:t xml:space="preserve"> u </w:t>
      </w:r>
      <w:proofErr w:type="spellStart"/>
      <w:r w:rsidR="000E732A" w:rsidRPr="003130B7">
        <w:rPr>
          <w:rFonts w:asciiTheme="minorHAnsi" w:hAnsiTheme="minorHAnsi"/>
          <w:i/>
          <w:sz w:val="19"/>
          <w:szCs w:val="19"/>
        </w:rPr>
        <w:t>Republici</w:t>
      </w:r>
      <w:proofErr w:type="spellEnd"/>
      <w:r w:rsidR="000E732A" w:rsidRPr="003130B7">
        <w:rPr>
          <w:rFonts w:asciiTheme="minorHAnsi" w:hAnsiTheme="minorHAnsi"/>
          <w:i/>
          <w:sz w:val="19"/>
          <w:szCs w:val="19"/>
        </w:rPr>
        <w:t xml:space="preserve"> </w:t>
      </w:r>
      <w:proofErr w:type="spellStart"/>
      <w:r w:rsidR="000E732A" w:rsidRPr="003130B7">
        <w:rPr>
          <w:rFonts w:asciiTheme="minorHAnsi" w:hAnsiTheme="minorHAnsi"/>
          <w:i/>
          <w:sz w:val="19"/>
          <w:szCs w:val="19"/>
        </w:rPr>
        <w:t>Srbiji</w:t>
      </w:r>
      <w:proofErr w:type="spellEnd"/>
      <w:r w:rsidR="000E732A" w:rsidRPr="003130B7">
        <w:rPr>
          <w:rFonts w:asciiTheme="minorHAnsi" w:hAnsiTheme="minorHAnsi"/>
          <w:i/>
          <w:sz w:val="19"/>
          <w:szCs w:val="19"/>
        </w:rPr>
        <w:t xml:space="preserve"> do 2030. </w:t>
      </w:r>
      <w:proofErr w:type="spellStart"/>
      <w:r w:rsidR="006C0D54">
        <w:rPr>
          <w:rFonts w:asciiTheme="minorHAnsi" w:hAnsiTheme="minorHAnsi"/>
          <w:i/>
          <w:sz w:val="19"/>
          <w:szCs w:val="19"/>
        </w:rPr>
        <w:t>g</w:t>
      </w:r>
      <w:r w:rsidR="000E732A" w:rsidRPr="003130B7">
        <w:rPr>
          <w:rFonts w:asciiTheme="minorHAnsi" w:hAnsiTheme="minorHAnsi"/>
          <w:i/>
          <w:sz w:val="19"/>
          <w:szCs w:val="19"/>
        </w:rPr>
        <w:t>odine</w:t>
      </w:r>
      <w:proofErr w:type="spellEnd"/>
      <w:r w:rsidR="000E732A" w:rsidRPr="003130B7">
        <w:rPr>
          <w:rFonts w:asciiTheme="minorHAnsi" w:hAnsiTheme="minorHAnsi"/>
          <w:i/>
          <w:sz w:val="19"/>
          <w:szCs w:val="19"/>
        </w:rPr>
        <w:t xml:space="preserve"> </w:t>
      </w:r>
      <w:r w:rsidR="000E732A" w:rsidRPr="003130B7">
        <w:rPr>
          <w:rFonts w:asciiTheme="minorHAnsi" w:hAnsiTheme="minorHAnsi"/>
          <w:sz w:val="19"/>
          <w:szCs w:val="19"/>
        </w:rPr>
        <w:t xml:space="preserve">ne </w:t>
      </w:r>
      <w:proofErr w:type="spellStart"/>
      <w:r w:rsidR="000E732A" w:rsidRPr="003130B7">
        <w:rPr>
          <w:rFonts w:asciiTheme="minorHAnsi" w:hAnsiTheme="minorHAnsi"/>
          <w:sz w:val="19"/>
          <w:szCs w:val="19"/>
        </w:rPr>
        <w:t>daje</w:t>
      </w:r>
      <w:proofErr w:type="spellEnd"/>
      <w:r w:rsidR="000E732A" w:rsidRPr="003130B7">
        <w:rPr>
          <w:rFonts w:asciiTheme="minorHAnsi" w:hAnsiTheme="minorHAnsi"/>
          <w:sz w:val="19"/>
          <w:szCs w:val="19"/>
        </w:rPr>
        <w:t xml:space="preserve"> </w:t>
      </w:r>
      <w:proofErr w:type="spellStart"/>
      <w:r w:rsidR="000E732A" w:rsidRPr="003130B7">
        <w:rPr>
          <w:rFonts w:asciiTheme="minorHAnsi" w:hAnsiTheme="minorHAnsi"/>
          <w:sz w:val="19"/>
          <w:szCs w:val="19"/>
        </w:rPr>
        <w:t>kvatitativne</w:t>
      </w:r>
      <w:proofErr w:type="spellEnd"/>
      <w:r w:rsidR="000E732A" w:rsidRPr="003130B7">
        <w:rPr>
          <w:rFonts w:asciiTheme="minorHAnsi" w:hAnsiTheme="minorHAnsi"/>
          <w:sz w:val="19"/>
          <w:szCs w:val="19"/>
        </w:rPr>
        <w:t xml:space="preserve"> </w:t>
      </w:r>
      <w:proofErr w:type="spellStart"/>
      <w:r w:rsidR="000E732A" w:rsidRPr="003130B7">
        <w:rPr>
          <w:rFonts w:asciiTheme="minorHAnsi" w:hAnsiTheme="minorHAnsi"/>
          <w:sz w:val="19"/>
          <w:szCs w:val="19"/>
        </w:rPr>
        <w:t>ciljeve</w:t>
      </w:r>
      <w:proofErr w:type="spellEnd"/>
      <w:r w:rsidR="000E732A" w:rsidRPr="003130B7">
        <w:rPr>
          <w:rFonts w:asciiTheme="minorHAnsi" w:hAnsiTheme="minorHAnsi"/>
          <w:sz w:val="19"/>
          <w:szCs w:val="19"/>
        </w:rPr>
        <w:t xml:space="preserve"> </w:t>
      </w:r>
      <w:proofErr w:type="spellStart"/>
      <w:r w:rsidR="000E732A" w:rsidRPr="003130B7">
        <w:rPr>
          <w:rFonts w:asciiTheme="minorHAnsi" w:hAnsiTheme="minorHAnsi"/>
          <w:sz w:val="19"/>
          <w:szCs w:val="19"/>
        </w:rPr>
        <w:t>već</w:t>
      </w:r>
      <w:proofErr w:type="spellEnd"/>
      <w:r w:rsidR="000E732A" w:rsidRPr="003130B7">
        <w:rPr>
          <w:rFonts w:asciiTheme="minorHAnsi" w:hAnsiTheme="minorHAnsi"/>
          <w:sz w:val="19"/>
          <w:szCs w:val="19"/>
        </w:rPr>
        <w:t xml:space="preserve"> </w:t>
      </w:r>
      <w:proofErr w:type="spellStart"/>
      <w:r w:rsidR="000E732A" w:rsidRPr="003130B7">
        <w:rPr>
          <w:rFonts w:asciiTheme="minorHAnsi" w:hAnsiTheme="minorHAnsi"/>
          <w:sz w:val="19"/>
          <w:szCs w:val="19"/>
        </w:rPr>
        <w:t>samo</w:t>
      </w:r>
      <w:proofErr w:type="spellEnd"/>
      <w:r w:rsidR="000E732A" w:rsidRPr="003130B7">
        <w:rPr>
          <w:rFonts w:asciiTheme="minorHAnsi" w:hAnsiTheme="minorHAnsi"/>
          <w:sz w:val="19"/>
          <w:szCs w:val="19"/>
        </w:rPr>
        <w:t xml:space="preserve"> </w:t>
      </w:r>
      <w:proofErr w:type="spellStart"/>
      <w:r w:rsidR="000E732A" w:rsidRPr="003130B7">
        <w:rPr>
          <w:rFonts w:asciiTheme="minorHAnsi" w:hAnsiTheme="minorHAnsi"/>
          <w:sz w:val="19"/>
          <w:szCs w:val="19"/>
        </w:rPr>
        <w:t>povećanje</w:t>
      </w:r>
      <w:proofErr w:type="spellEnd"/>
      <w:r w:rsidR="000E732A" w:rsidRPr="003130B7">
        <w:rPr>
          <w:rFonts w:asciiTheme="minorHAnsi" w:hAnsiTheme="minorHAnsi"/>
          <w:sz w:val="19"/>
          <w:szCs w:val="19"/>
        </w:rPr>
        <w:t xml:space="preserve"> </w:t>
      </w:r>
      <w:proofErr w:type="spellStart"/>
      <w:r w:rsidR="000E732A" w:rsidRPr="003130B7">
        <w:rPr>
          <w:rFonts w:asciiTheme="minorHAnsi" w:hAnsiTheme="minorHAnsi"/>
          <w:sz w:val="19"/>
          <w:szCs w:val="19"/>
        </w:rPr>
        <w:t>ob</w:t>
      </w:r>
      <w:r w:rsidR="006C0D54">
        <w:rPr>
          <w:rFonts w:asciiTheme="minorHAnsi" w:hAnsiTheme="minorHAnsi"/>
          <w:sz w:val="19"/>
          <w:szCs w:val="19"/>
        </w:rPr>
        <w:t>uhvata</w:t>
      </w:r>
      <w:proofErr w:type="spellEnd"/>
      <w:r w:rsidR="006C0D54">
        <w:rPr>
          <w:rFonts w:asciiTheme="minorHAnsi" w:hAnsiTheme="minorHAnsi"/>
          <w:sz w:val="19"/>
          <w:szCs w:val="19"/>
        </w:rPr>
        <w:t xml:space="preserve">. </w:t>
      </w:r>
      <w:proofErr w:type="spellStart"/>
      <w:r w:rsidR="006C0D54">
        <w:rPr>
          <w:rFonts w:asciiTheme="minorHAnsi" w:hAnsiTheme="minorHAnsi"/>
          <w:sz w:val="19"/>
          <w:szCs w:val="19"/>
        </w:rPr>
        <w:t>Dakle</w:t>
      </w:r>
      <w:proofErr w:type="spellEnd"/>
      <w:r w:rsidR="006C0D54">
        <w:rPr>
          <w:rFonts w:asciiTheme="minorHAnsi" w:hAnsiTheme="minorHAnsi"/>
          <w:sz w:val="19"/>
          <w:szCs w:val="19"/>
        </w:rPr>
        <w:t>,</w:t>
      </w:r>
      <w:r w:rsidR="006C0D54" w:rsidRPr="003130B7">
        <w:rPr>
          <w:rFonts w:asciiTheme="minorHAnsi" w:hAnsiTheme="minorHAnsi"/>
          <w:sz w:val="19"/>
          <w:szCs w:val="19"/>
        </w:rPr>
        <w:t xml:space="preserve"> </w:t>
      </w:r>
      <w:proofErr w:type="spellStart"/>
      <w:r w:rsidR="006C0D54" w:rsidRPr="006C0D54">
        <w:rPr>
          <w:rFonts w:asciiTheme="minorHAnsi" w:hAnsiTheme="minorHAnsi"/>
          <w:b/>
          <w:sz w:val="19"/>
          <w:szCs w:val="19"/>
        </w:rPr>
        <w:t>povećanje</w:t>
      </w:r>
      <w:proofErr w:type="spellEnd"/>
      <w:r w:rsidR="006C0D54" w:rsidRPr="006C0D54">
        <w:rPr>
          <w:rFonts w:asciiTheme="minorHAnsi" w:hAnsiTheme="minorHAnsi"/>
          <w:b/>
          <w:sz w:val="19"/>
          <w:szCs w:val="19"/>
        </w:rPr>
        <w:t xml:space="preserve"> </w:t>
      </w:r>
      <w:proofErr w:type="spellStart"/>
      <w:r w:rsidR="006C0D54" w:rsidRPr="006C0D54">
        <w:rPr>
          <w:rFonts w:asciiTheme="minorHAnsi" w:hAnsiTheme="minorHAnsi"/>
          <w:b/>
          <w:sz w:val="19"/>
          <w:szCs w:val="19"/>
        </w:rPr>
        <w:t>obuhvata</w:t>
      </w:r>
      <w:proofErr w:type="spellEnd"/>
      <w:r w:rsidR="006C0D54" w:rsidRPr="006C0D54">
        <w:rPr>
          <w:rFonts w:asciiTheme="minorHAnsi" w:hAnsiTheme="minorHAnsi"/>
          <w:b/>
          <w:sz w:val="19"/>
          <w:szCs w:val="19"/>
        </w:rPr>
        <w:t xml:space="preserve"> POV </w:t>
      </w:r>
      <w:proofErr w:type="spellStart"/>
      <w:r w:rsidR="006C0D54" w:rsidRPr="006C0D54">
        <w:rPr>
          <w:rFonts w:asciiTheme="minorHAnsi" w:hAnsiTheme="minorHAnsi"/>
          <w:b/>
          <w:sz w:val="19"/>
          <w:szCs w:val="19"/>
        </w:rPr>
        <w:t>ostaje</w:t>
      </w:r>
      <w:proofErr w:type="spellEnd"/>
      <w:r w:rsidR="006C0D54" w:rsidRPr="006C0D54">
        <w:rPr>
          <w:rFonts w:asciiTheme="minorHAnsi" w:hAnsiTheme="minorHAnsi"/>
          <w:b/>
          <w:sz w:val="19"/>
          <w:szCs w:val="19"/>
        </w:rPr>
        <w:t xml:space="preserve"> </w:t>
      </w:r>
      <w:proofErr w:type="spellStart"/>
      <w:r w:rsidR="006C0D54" w:rsidRPr="006C0D54">
        <w:rPr>
          <w:rFonts w:asciiTheme="minorHAnsi" w:hAnsiTheme="minorHAnsi"/>
          <w:b/>
          <w:sz w:val="19"/>
          <w:szCs w:val="19"/>
        </w:rPr>
        <w:t>strateški</w:t>
      </w:r>
      <w:proofErr w:type="spellEnd"/>
      <w:r w:rsidR="006C0D54" w:rsidRPr="006C0D54">
        <w:rPr>
          <w:rFonts w:asciiTheme="minorHAnsi" w:hAnsiTheme="minorHAnsi"/>
          <w:b/>
          <w:sz w:val="19"/>
          <w:szCs w:val="19"/>
        </w:rPr>
        <w:t xml:space="preserve"> </w:t>
      </w:r>
      <w:proofErr w:type="spellStart"/>
      <w:r w:rsidR="006C0D54" w:rsidRPr="006C0D54">
        <w:rPr>
          <w:rFonts w:asciiTheme="minorHAnsi" w:hAnsiTheme="minorHAnsi"/>
          <w:b/>
          <w:sz w:val="19"/>
          <w:szCs w:val="19"/>
        </w:rPr>
        <w:t>prioritet</w:t>
      </w:r>
      <w:proofErr w:type="spellEnd"/>
      <w:r w:rsidR="006C0D54" w:rsidRPr="006C0D54">
        <w:rPr>
          <w:rFonts w:asciiTheme="minorHAnsi" w:hAnsiTheme="minorHAnsi"/>
          <w:b/>
          <w:sz w:val="19"/>
          <w:szCs w:val="19"/>
        </w:rPr>
        <w:t>.</w:t>
      </w:r>
    </w:p>
    <w:p w14:paraId="3BF3C418" w14:textId="77777777" w:rsidR="00DB5D24" w:rsidRPr="003130B7" w:rsidRDefault="00DB5D24" w:rsidP="00DB5D24">
      <w:pPr>
        <w:pBdr>
          <w:top w:val="single" w:sz="4" w:space="1" w:color="auto"/>
          <w:left w:val="single" w:sz="4" w:space="4" w:color="auto"/>
          <w:bottom w:val="single" w:sz="4" w:space="1" w:color="auto"/>
          <w:right w:val="single" w:sz="4" w:space="4" w:color="auto"/>
        </w:pBdr>
        <w:jc w:val="both"/>
        <w:rPr>
          <w:rFonts w:asciiTheme="minorHAnsi" w:hAnsiTheme="minorHAnsi"/>
          <w:sz w:val="19"/>
          <w:szCs w:val="19"/>
        </w:rPr>
      </w:pPr>
    </w:p>
    <w:p w14:paraId="11B6AE34" w14:textId="77777777" w:rsidR="00DB5D24" w:rsidRPr="003130B7" w:rsidRDefault="00DB5D24" w:rsidP="00DB5D24">
      <w:pPr>
        <w:pBdr>
          <w:top w:val="single" w:sz="4" w:space="1" w:color="auto"/>
          <w:left w:val="single" w:sz="4" w:space="4" w:color="auto"/>
          <w:bottom w:val="single" w:sz="4" w:space="1" w:color="auto"/>
          <w:right w:val="single" w:sz="4" w:space="4" w:color="auto"/>
        </w:pBdr>
        <w:jc w:val="both"/>
        <w:rPr>
          <w:rFonts w:asciiTheme="minorHAnsi" w:hAnsiTheme="minorHAnsi"/>
          <w:sz w:val="19"/>
          <w:szCs w:val="19"/>
        </w:rPr>
      </w:pPr>
      <w:proofErr w:type="spellStart"/>
      <w:r w:rsidRPr="003130B7">
        <w:rPr>
          <w:rFonts w:asciiTheme="minorHAnsi" w:hAnsiTheme="minorHAnsi"/>
          <w:sz w:val="19"/>
          <w:szCs w:val="19"/>
        </w:rPr>
        <w:t>Praksa</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pokazuje</w:t>
      </w:r>
      <w:proofErr w:type="spellEnd"/>
      <w:r w:rsidRPr="003130B7">
        <w:rPr>
          <w:rFonts w:asciiTheme="minorHAnsi" w:hAnsiTheme="minorHAnsi"/>
          <w:sz w:val="19"/>
          <w:szCs w:val="19"/>
        </w:rPr>
        <w:t xml:space="preserve"> da </w:t>
      </w:r>
      <w:proofErr w:type="spellStart"/>
      <w:r w:rsidRPr="003130B7">
        <w:rPr>
          <w:rFonts w:asciiTheme="minorHAnsi" w:hAnsiTheme="minorHAnsi"/>
          <w:sz w:val="19"/>
          <w:szCs w:val="19"/>
        </w:rPr>
        <w:t>obaveznost</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programa</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kao</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i</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finansiranje</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zarada</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sa</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nacionalnog</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nivoa</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dovodi</w:t>
      </w:r>
      <w:proofErr w:type="spellEnd"/>
      <w:r w:rsidRPr="003130B7">
        <w:rPr>
          <w:rFonts w:asciiTheme="minorHAnsi" w:hAnsiTheme="minorHAnsi"/>
          <w:sz w:val="19"/>
          <w:szCs w:val="19"/>
        </w:rPr>
        <w:t xml:space="preserve"> do </w:t>
      </w:r>
      <w:proofErr w:type="spellStart"/>
      <w:r w:rsidRPr="003130B7">
        <w:rPr>
          <w:rFonts w:asciiTheme="minorHAnsi" w:hAnsiTheme="minorHAnsi"/>
          <w:sz w:val="19"/>
          <w:szCs w:val="19"/>
        </w:rPr>
        <w:t>skoro</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potpunog</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obuhvata</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što</w:t>
      </w:r>
      <w:proofErr w:type="spellEnd"/>
      <w:r w:rsidRPr="003130B7">
        <w:rPr>
          <w:rFonts w:asciiTheme="minorHAnsi" w:hAnsiTheme="minorHAnsi"/>
          <w:sz w:val="19"/>
          <w:szCs w:val="19"/>
        </w:rPr>
        <w:t xml:space="preserve"> je </w:t>
      </w:r>
      <w:proofErr w:type="spellStart"/>
      <w:r w:rsidRPr="003130B7">
        <w:rPr>
          <w:rFonts w:asciiTheme="minorHAnsi" w:hAnsiTheme="minorHAnsi"/>
          <w:sz w:val="19"/>
          <w:szCs w:val="19"/>
        </w:rPr>
        <w:t>i</w:t>
      </w:r>
      <w:proofErr w:type="spellEnd"/>
      <w:r w:rsidRPr="003130B7">
        <w:rPr>
          <w:rFonts w:asciiTheme="minorHAnsi" w:hAnsiTheme="minorHAnsi"/>
          <w:sz w:val="19"/>
          <w:szCs w:val="19"/>
        </w:rPr>
        <w:t xml:space="preserve"> bio </w:t>
      </w:r>
      <w:proofErr w:type="spellStart"/>
      <w:r w:rsidRPr="003130B7">
        <w:rPr>
          <w:rFonts w:asciiTheme="minorHAnsi" w:hAnsiTheme="minorHAnsi"/>
          <w:sz w:val="19"/>
          <w:szCs w:val="19"/>
        </w:rPr>
        <w:t>slučaj</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sa</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pripremnim</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predškolskim</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programom</w:t>
      </w:r>
      <w:proofErr w:type="spellEnd"/>
      <w:r w:rsidRPr="003130B7">
        <w:rPr>
          <w:rFonts w:asciiTheme="minorHAnsi" w:hAnsiTheme="minorHAnsi"/>
          <w:sz w:val="19"/>
          <w:szCs w:val="19"/>
        </w:rPr>
        <w:t xml:space="preserve"> – PPP. </w:t>
      </w:r>
      <w:proofErr w:type="spellStart"/>
      <w:r w:rsidRPr="003130B7">
        <w:rPr>
          <w:rFonts w:asciiTheme="minorHAnsi" w:hAnsiTheme="minorHAnsi"/>
          <w:sz w:val="19"/>
          <w:szCs w:val="19"/>
        </w:rPr>
        <w:t>Ipak</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imajući</w:t>
      </w:r>
      <w:proofErr w:type="spellEnd"/>
      <w:r w:rsidRPr="003130B7">
        <w:rPr>
          <w:rFonts w:asciiTheme="minorHAnsi" w:hAnsiTheme="minorHAnsi"/>
          <w:sz w:val="19"/>
          <w:szCs w:val="19"/>
        </w:rPr>
        <w:t xml:space="preserve"> u </w:t>
      </w:r>
      <w:proofErr w:type="spellStart"/>
      <w:r w:rsidRPr="003130B7">
        <w:rPr>
          <w:rFonts w:asciiTheme="minorHAnsi" w:hAnsiTheme="minorHAnsi"/>
          <w:sz w:val="19"/>
          <w:szCs w:val="19"/>
        </w:rPr>
        <w:t>vidu</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dokazane</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koristi</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od</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predškolskog</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obrazovanja</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i</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vaspitanja</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kao</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i</w:t>
      </w:r>
      <w:proofErr w:type="spellEnd"/>
      <w:r w:rsidRPr="003130B7">
        <w:rPr>
          <w:rFonts w:asciiTheme="minorHAnsi" w:hAnsiTheme="minorHAnsi"/>
          <w:sz w:val="19"/>
          <w:szCs w:val="19"/>
        </w:rPr>
        <w:t xml:space="preserve"> da je ono </w:t>
      </w:r>
      <w:proofErr w:type="spellStart"/>
      <w:r w:rsidRPr="003130B7">
        <w:rPr>
          <w:rFonts w:asciiTheme="minorHAnsi" w:hAnsiTheme="minorHAnsi"/>
          <w:sz w:val="19"/>
          <w:szCs w:val="19"/>
        </w:rPr>
        <w:t>najvažniji</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obrazovni</w:t>
      </w:r>
      <w:proofErr w:type="spellEnd"/>
      <w:r w:rsidRPr="003130B7">
        <w:rPr>
          <w:rFonts w:asciiTheme="minorHAnsi" w:hAnsiTheme="minorHAnsi"/>
          <w:sz w:val="19"/>
          <w:szCs w:val="19"/>
        </w:rPr>
        <w:t xml:space="preserve"> program </w:t>
      </w:r>
      <w:proofErr w:type="spellStart"/>
      <w:r w:rsidRPr="003130B7">
        <w:rPr>
          <w:rFonts w:asciiTheme="minorHAnsi" w:hAnsiTheme="minorHAnsi"/>
          <w:sz w:val="19"/>
          <w:szCs w:val="19"/>
        </w:rPr>
        <w:t>na</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nivou</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opštine</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povećanje</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obuhvata</w:t>
      </w:r>
      <w:proofErr w:type="spellEnd"/>
      <w:r w:rsidRPr="003130B7">
        <w:rPr>
          <w:rFonts w:asciiTheme="minorHAnsi" w:hAnsiTheme="minorHAnsi"/>
          <w:sz w:val="19"/>
          <w:szCs w:val="19"/>
        </w:rPr>
        <w:t xml:space="preserve"> bi </w:t>
      </w:r>
      <w:proofErr w:type="spellStart"/>
      <w:r w:rsidRPr="003130B7">
        <w:rPr>
          <w:rFonts w:asciiTheme="minorHAnsi" w:hAnsiTheme="minorHAnsi"/>
          <w:sz w:val="19"/>
          <w:szCs w:val="19"/>
        </w:rPr>
        <w:t>trebalo</w:t>
      </w:r>
      <w:proofErr w:type="spellEnd"/>
      <w:r w:rsidRPr="003130B7">
        <w:rPr>
          <w:rFonts w:asciiTheme="minorHAnsi" w:hAnsiTheme="minorHAnsi"/>
          <w:sz w:val="19"/>
          <w:szCs w:val="19"/>
        </w:rPr>
        <w:t xml:space="preserve"> da </w:t>
      </w:r>
      <w:proofErr w:type="spellStart"/>
      <w:r w:rsidRPr="003130B7">
        <w:rPr>
          <w:rFonts w:asciiTheme="minorHAnsi" w:hAnsiTheme="minorHAnsi"/>
          <w:sz w:val="19"/>
          <w:szCs w:val="19"/>
        </w:rPr>
        <w:t>bude</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strateški</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pravac</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i</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cilj</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svake</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opštine</w:t>
      </w:r>
      <w:proofErr w:type="spellEnd"/>
      <w:r w:rsidRPr="003130B7">
        <w:rPr>
          <w:rFonts w:asciiTheme="minorHAnsi" w:hAnsiTheme="minorHAnsi"/>
          <w:sz w:val="19"/>
          <w:szCs w:val="19"/>
        </w:rPr>
        <w:t xml:space="preserve">. </w:t>
      </w:r>
    </w:p>
    <w:p w14:paraId="2845C06E" w14:textId="77777777" w:rsidR="00DB5D24" w:rsidRPr="003130B7" w:rsidRDefault="00DB5D24" w:rsidP="00DB5D24">
      <w:pPr>
        <w:pBdr>
          <w:top w:val="single" w:sz="4" w:space="1" w:color="auto"/>
          <w:left w:val="single" w:sz="4" w:space="4" w:color="auto"/>
          <w:bottom w:val="single" w:sz="4" w:space="1" w:color="auto"/>
          <w:right w:val="single" w:sz="4" w:space="4" w:color="auto"/>
        </w:pBdr>
        <w:jc w:val="both"/>
        <w:rPr>
          <w:rFonts w:asciiTheme="minorHAnsi" w:hAnsiTheme="minorHAnsi"/>
          <w:sz w:val="19"/>
          <w:szCs w:val="19"/>
        </w:rPr>
      </w:pPr>
    </w:p>
    <w:p w14:paraId="16F41700" w14:textId="77777777" w:rsidR="00DB5D24" w:rsidRPr="003130B7" w:rsidRDefault="00DB5D24" w:rsidP="00DB5D24">
      <w:pPr>
        <w:pBdr>
          <w:top w:val="single" w:sz="4" w:space="1" w:color="auto"/>
          <w:left w:val="single" w:sz="4" w:space="4" w:color="auto"/>
          <w:bottom w:val="single" w:sz="4" w:space="1" w:color="auto"/>
          <w:right w:val="single" w:sz="4" w:space="4" w:color="auto"/>
        </w:pBdr>
        <w:jc w:val="both"/>
        <w:rPr>
          <w:rFonts w:asciiTheme="minorHAnsi" w:hAnsiTheme="minorHAnsi"/>
          <w:sz w:val="19"/>
          <w:szCs w:val="19"/>
        </w:rPr>
      </w:pPr>
      <w:proofErr w:type="spellStart"/>
      <w:r w:rsidRPr="003130B7">
        <w:rPr>
          <w:rFonts w:asciiTheme="minorHAnsi" w:hAnsiTheme="minorHAnsi"/>
          <w:sz w:val="19"/>
          <w:szCs w:val="19"/>
        </w:rPr>
        <w:t>Potpun</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obuhvat</w:t>
      </w:r>
      <w:proofErr w:type="spellEnd"/>
      <w:r w:rsidRPr="003130B7">
        <w:rPr>
          <w:rFonts w:asciiTheme="minorHAnsi" w:hAnsiTheme="minorHAnsi"/>
          <w:sz w:val="19"/>
          <w:szCs w:val="19"/>
        </w:rPr>
        <w:t xml:space="preserve"> ne </w:t>
      </w:r>
      <w:proofErr w:type="spellStart"/>
      <w:r w:rsidRPr="003130B7">
        <w:rPr>
          <w:rFonts w:asciiTheme="minorHAnsi" w:hAnsiTheme="minorHAnsi"/>
          <w:sz w:val="19"/>
          <w:szCs w:val="19"/>
        </w:rPr>
        <w:t>znači</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nužno</w:t>
      </w:r>
      <w:proofErr w:type="spellEnd"/>
      <w:r w:rsidRPr="003130B7">
        <w:rPr>
          <w:rFonts w:asciiTheme="minorHAnsi" w:hAnsiTheme="minorHAnsi"/>
          <w:sz w:val="19"/>
          <w:szCs w:val="19"/>
        </w:rPr>
        <w:t xml:space="preserve"> da </w:t>
      </w:r>
      <w:proofErr w:type="spellStart"/>
      <w:r w:rsidRPr="003130B7">
        <w:rPr>
          <w:rFonts w:asciiTheme="minorHAnsi" w:hAnsiTheme="minorHAnsi"/>
          <w:sz w:val="19"/>
          <w:szCs w:val="19"/>
        </w:rPr>
        <w:t>sva</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deca</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pohađaju</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isključivo</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celodnevne</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programe</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već</w:t>
      </w:r>
      <w:proofErr w:type="spellEnd"/>
      <w:r w:rsidRPr="003130B7">
        <w:rPr>
          <w:rFonts w:asciiTheme="minorHAnsi" w:hAnsiTheme="minorHAnsi"/>
          <w:sz w:val="19"/>
          <w:szCs w:val="19"/>
        </w:rPr>
        <w:t xml:space="preserve"> je </w:t>
      </w:r>
      <w:proofErr w:type="spellStart"/>
      <w:r w:rsidRPr="003130B7">
        <w:rPr>
          <w:rFonts w:asciiTheme="minorHAnsi" w:hAnsiTheme="minorHAnsi"/>
          <w:sz w:val="19"/>
          <w:szCs w:val="19"/>
        </w:rPr>
        <w:t>potrebno</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izgraditi</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fleksibilan</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sistem</w:t>
      </w:r>
      <w:proofErr w:type="spellEnd"/>
      <w:r w:rsidRPr="003130B7">
        <w:rPr>
          <w:rFonts w:asciiTheme="minorHAnsi" w:hAnsiTheme="minorHAnsi"/>
          <w:sz w:val="19"/>
          <w:szCs w:val="19"/>
        </w:rPr>
        <w:t xml:space="preserve"> koji pored </w:t>
      </w:r>
      <w:proofErr w:type="spellStart"/>
      <w:r w:rsidRPr="003130B7">
        <w:rPr>
          <w:rFonts w:asciiTheme="minorHAnsi" w:hAnsiTheme="minorHAnsi"/>
          <w:sz w:val="19"/>
          <w:szCs w:val="19"/>
        </w:rPr>
        <w:t>celodnevnih</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programa</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nudi</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i</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poludnevne</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programe</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kao</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i</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specijalizovane</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programe</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predškolskog</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obrazovanja</w:t>
      </w:r>
      <w:proofErr w:type="spellEnd"/>
      <w:r w:rsidRPr="003130B7">
        <w:rPr>
          <w:rFonts w:asciiTheme="minorHAnsi" w:hAnsiTheme="minorHAnsi"/>
          <w:sz w:val="19"/>
          <w:szCs w:val="19"/>
        </w:rPr>
        <w:t xml:space="preserve">. </w:t>
      </w:r>
    </w:p>
    <w:p w14:paraId="2D232914" w14:textId="77777777" w:rsidR="00DB5D24" w:rsidRPr="003130B7" w:rsidRDefault="00DB5D24" w:rsidP="00DB5D24">
      <w:pPr>
        <w:pBdr>
          <w:top w:val="single" w:sz="4" w:space="1" w:color="auto"/>
          <w:left w:val="single" w:sz="4" w:space="4" w:color="auto"/>
          <w:bottom w:val="single" w:sz="4" w:space="1" w:color="auto"/>
          <w:right w:val="single" w:sz="4" w:space="4" w:color="auto"/>
        </w:pBdr>
        <w:jc w:val="both"/>
        <w:rPr>
          <w:rFonts w:asciiTheme="minorHAnsi" w:hAnsiTheme="minorHAnsi"/>
          <w:sz w:val="19"/>
          <w:szCs w:val="19"/>
        </w:rPr>
      </w:pPr>
    </w:p>
    <w:p w14:paraId="38EBA215" w14:textId="77777777" w:rsidR="00DB5D24" w:rsidRPr="003130B7" w:rsidRDefault="00DB5D24" w:rsidP="00DB5D24">
      <w:pPr>
        <w:pBdr>
          <w:top w:val="single" w:sz="4" w:space="1" w:color="auto"/>
          <w:left w:val="single" w:sz="4" w:space="4" w:color="auto"/>
          <w:bottom w:val="single" w:sz="4" w:space="1" w:color="auto"/>
          <w:right w:val="single" w:sz="4" w:space="4" w:color="auto"/>
        </w:pBdr>
        <w:jc w:val="both"/>
        <w:rPr>
          <w:rFonts w:asciiTheme="minorHAnsi" w:hAnsiTheme="minorHAnsi"/>
          <w:sz w:val="19"/>
          <w:szCs w:val="19"/>
        </w:rPr>
      </w:pPr>
      <w:r w:rsidRPr="003130B7">
        <w:rPr>
          <w:rFonts w:asciiTheme="minorHAnsi" w:hAnsiTheme="minorHAnsi"/>
          <w:sz w:val="19"/>
          <w:szCs w:val="19"/>
        </w:rPr>
        <w:t xml:space="preserve">U tom </w:t>
      </w:r>
      <w:proofErr w:type="spellStart"/>
      <w:r w:rsidRPr="003130B7">
        <w:rPr>
          <w:rFonts w:asciiTheme="minorHAnsi" w:hAnsiTheme="minorHAnsi"/>
          <w:sz w:val="19"/>
          <w:szCs w:val="19"/>
        </w:rPr>
        <w:t>smislu</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formulacija</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nedovoljni</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kapaciteti</w:t>
      </w:r>
      <w:proofErr w:type="spellEnd"/>
      <w:r w:rsidRPr="003130B7">
        <w:rPr>
          <w:rFonts w:asciiTheme="minorHAnsi" w:hAnsiTheme="minorHAnsi"/>
          <w:sz w:val="19"/>
          <w:szCs w:val="19"/>
        </w:rPr>
        <w:t xml:space="preserve"> POV» u </w:t>
      </w:r>
      <w:proofErr w:type="spellStart"/>
      <w:r w:rsidRPr="003130B7">
        <w:rPr>
          <w:rFonts w:asciiTheme="minorHAnsi" w:hAnsiTheme="minorHAnsi"/>
          <w:sz w:val="19"/>
          <w:szCs w:val="19"/>
        </w:rPr>
        <w:t>ovom</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dokumentu</w:t>
      </w:r>
      <w:proofErr w:type="spellEnd"/>
      <w:r w:rsidRPr="003130B7">
        <w:rPr>
          <w:rFonts w:asciiTheme="minorHAnsi" w:hAnsiTheme="minorHAnsi"/>
          <w:sz w:val="19"/>
          <w:szCs w:val="19"/>
        </w:rPr>
        <w:t xml:space="preserve"> ne </w:t>
      </w:r>
      <w:proofErr w:type="spellStart"/>
      <w:r w:rsidRPr="003130B7">
        <w:rPr>
          <w:rFonts w:asciiTheme="minorHAnsi" w:hAnsiTheme="minorHAnsi"/>
          <w:sz w:val="19"/>
          <w:szCs w:val="19"/>
        </w:rPr>
        <w:t>znači</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nužno</w:t>
      </w:r>
      <w:proofErr w:type="spellEnd"/>
      <w:r w:rsidRPr="003130B7">
        <w:rPr>
          <w:rFonts w:asciiTheme="minorHAnsi" w:hAnsiTheme="minorHAnsi"/>
          <w:sz w:val="19"/>
          <w:szCs w:val="19"/>
        </w:rPr>
        <w:t xml:space="preserve"> da je </w:t>
      </w:r>
      <w:proofErr w:type="spellStart"/>
      <w:r w:rsidRPr="003130B7">
        <w:rPr>
          <w:rFonts w:asciiTheme="minorHAnsi" w:hAnsiTheme="minorHAnsi"/>
          <w:sz w:val="19"/>
          <w:szCs w:val="19"/>
        </w:rPr>
        <w:t>potrebno</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izgraditi</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novi</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vrtić</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pogotovo</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imajući</w:t>
      </w:r>
      <w:proofErr w:type="spellEnd"/>
      <w:r w:rsidRPr="003130B7">
        <w:rPr>
          <w:rFonts w:asciiTheme="minorHAnsi" w:hAnsiTheme="minorHAnsi"/>
          <w:sz w:val="19"/>
          <w:szCs w:val="19"/>
        </w:rPr>
        <w:t xml:space="preserve"> u </w:t>
      </w:r>
      <w:proofErr w:type="spellStart"/>
      <w:r w:rsidRPr="003130B7">
        <w:rPr>
          <w:rFonts w:asciiTheme="minorHAnsi" w:hAnsiTheme="minorHAnsi"/>
          <w:sz w:val="19"/>
          <w:szCs w:val="19"/>
        </w:rPr>
        <w:t>vidu</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negativne</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demografske</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trendove</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većine</w:t>
      </w:r>
      <w:proofErr w:type="spellEnd"/>
      <w:r w:rsidRPr="003130B7">
        <w:rPr>
          <w:rFonts w:asciiTheme="minorHAnsi" w:hAnsiTheme="minorHAnsi"/>
          <w:sz w:val="19"/>
          <w:szCs w:val="19"/>
        </w:rPr>
        <w:t xml:space="preserve"> JLS u </w:t>
      </w:r>
      <w:proofErr w:type="spellStart"/>
      <w:r w:rsidRPr="003130B7">
        <w:rPr>
          <w:rFonts w:asciiTheme="minorHAnsi" w:hAnsiTheme="minorHAnsi"/>
          <w:sz w:val="19"/>
          <w:szCs w:val="19"/>
        </w:rPr>
        <w:t>Srbiji</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već</w:t>
      </w:r>
      <w:proofErr w:type="spellEnd"/>
      <w:r w:rsidRPr="003130B7">
        <w:rPr>
          <w:rFonts w:asciiTheme="minorHAnsi" w:hAnsiTheme="minorHAnsi"/>
          <w:sz w:val="19"/>
          <w:szCs w:val="19"/>
        </w:rPr>
        <w:t xml:space="preserve"> je </w:t>
      </w:r>
      <w:proofErr w:type="spellStart"/>
      <w:r w:rsidRPr="003130B7">
        <w:rPr>
          <w:rFonts w:asciiTheme="minorHAnsi" w:hAnsiTheme="minorHAnsi"/>
          <w:sz w:val="19"/>
          <w:szCs w:val="19"/>
        </w:rPr>
        <w:t>potrebno</w:t>
      </w:r>
      <w:proofErr w:type="spellEnd"/>
      <w:r w:rsidRPr="003130B7">
        <w:rPr>
          <w:rFonts w:asciiTheme="minorHAnsi" w:hAnsiTheme="minorHAnsi"/>
          <w:sz w:val="19"/>
          <w:szCs w:val="19"/>
        </w:rPr>
        <w:t xml:space="preserve"> da se </w:t>
      </w:r>
      <w:proofErr w:type="spellStart"/>
      <w:r w:rsidRPr="003130B7">
        <w:rPr>
          <w:rFonts w:asciiTheme="minorHAnsi" w:hAnsiTheme="minorHAnsi"/>
          <w:sz w:val="19"/>
          <w:szCs w:val="19"/>
        </w:rPr>
        <w:t>radi</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na</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osmišljavanju</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programa</w:t>
      </w:r>
      <w:proofErr w:type="spellEnd"/>
      <w:r w:rsidRPr="003130B7">
        <w:rPr>
          <w:rFonts w:asciiTheme="minorHAnsi" w:hAnsiTheme="minorHAnsi"/>
          <w:sz w:val="19"/>
          <w:szCs w:val="19"/>
        </w:rPr>
        <w:t xml:space="preserve"> koji bi </w:t>
      </w:r>
      <w:proofErr w:type="spellStart"/>
      <w:r w:rsidRPr="003130B7">
        <w:rPr>
          <w:rFonts w:asciiTheme="minorHAnsi" w:hAnsiTheme="minorHAnsi"/>
          <w:sz w:val="19"/>
          <w:szCs w:val="19"/>
        </w:rPr>
        <w:t>koristili</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postojeće</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infrastukture</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kapacitete</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npr</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koristiti</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višak</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kapaciteta</w:t>
      </w:r>
      <w:proofErr w:type="spellEnd"/>
      <w:r w:rsidRPr="003130B7">
        <w:rPr>
          <w:rFonts w:asciiTheme="minorHAnsi" w:hAnsiTheme="minorHAnsi"/>
          <w:sz w:val="19"/>
          <w:szCs w:val="19"/>
        </w:rPr>
        <w:t xml:space="preserve"> u </w:t>
      </w:r>
      <w:proofErr w:type="spellStart"/>
      <w:r w:rsidRPr="003130B7">
        <w:rPr>
          <w:rFonts w:asciiTheme="minorHAnsi" w:hAnsiTheme="minorHAnsi"/>
          <w:sz w:val="19"/>
          <w:szCs w:val="19"/>
        </w:rPr>
        <w:t>školama</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organizovati</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mobilne</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vrtiće</w:t>
      </w:r>
      <w:proofErr w:type="spellEnd"/>
      <w:r w:rsidRPr="003130B7">
        <w:rPr>
          <w:rFonts w:asciiTheme="minorHAnsi" w:hAnsiTheme="minorHAnsi"/>
          <w:sz w:val="19"/>
          <w:szCs w:val="19"/>
        </w:rPr>
        <w:t xml:space="preserve"> po </w:t>
      </w:r>
      <w:proofErr w:type="spellStart"/>
      <w:r w:rsidRPr="003130B7">
        <w:rPr>
          <w:rFonts w:asciiTheme="minorHAnsi" w:hAnsiTheme="minorHAnsi"/>
          <w:sz w:val="19"/>
          <w:szCs w:val="19"/>
        </w:rPr>
        <w:t>uzoru</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na</w:t>
      </w:r>
      <w:proofErr w:type="spellEnd"/>
      <w:r w:rsidRPr="003130B7">
        <w:rPr>
          <w:rFonts w:asciiTheme="minorHAnsi" w:hAnsiTheme="minorHAnsi"/>
          <w:sz w:val="19"/>
          <w:szCs w:val="19"/>
        </w:rPr>
        <w:t xml:space="preserve"> UNICEF pilot </w:t>
      </w:r>
      <w:proofErr w:type="spellStart"/>
      <w:r w:rsidRPr="003130B7">
        <w:rPr>
          <w:rFonts w:asciiTheme="minorHAnsi" w:hAnsiTheme="minorHAnsi"/>
          <w:sz w:val="19"/>
          <w:szCs w:val="19"/>
        </w:rPr>
        <w:t>projekte</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i</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slično</w:t>
      </w:r>
      <w:proofErr w:type="spellEnd"/>
      <w:r w:rsidRPr="003130B7">
        <w:rPr>
          <w:rFonts w:asciiTheme="minorHAnsi" w:hAnsiTheme="minorHAnsi"/>
          <w:sz w:val="19"/>
          <w:szCs w:val="19"/>
        </w:rPr>
        <w:t xml:space="preserve">).  </w:t>
      </w:r>
    </w:p>
    <w:p w14:paraId="42B5D3D9" w14:textId="77777777" w:rsidR="00DB5D24" w:rsidRPr="003130B7" w:rsidRDefault="00DB5D24" w:rsidP="00DB5D24">
      <w:pPr>
        <w:pBdr>
          <w:top w:val="single" w:sz="4" w:space="1" w:color="auto"/>
          <w:left w:val="single" w:sz="4" w:space="4" w:color="auto"/>
          <w:bottom w:val="single" w:sz="4" w:space="1" w:color="auto"/>
          <w:right w:val="single" w:sz="4" w:space="4" w:color="auto"/>
        </w:pBdr>
        <w:jc w:val="both"/>
        <w:rPr>
          <w:rFonts w:asciiTheme="minorHAnsi" w:hAnsiTheme="minorHAnsi"/>
          <w:sz w:val="19"/>
          <w:szCs w:val="19"/>
        </w:rPr>
      </w:pPr>
    </w:p>
    <w:p w14:paraId="548D0BF7" w14:textId="15B99C52" w:rsidR="00DB5D24" w:rsidRPr="003130B7" w:rsidRDefault="00DB5D24" w:rsidP="00DB5D24">
      <w:pPr>
        <w:pBdr>
          <w:top w:val="single" w:sz="4" w:space="1" w:color="auto"/>
          <w:left w:val="single" w:sz="4" w:space="4" w:color="auto"/>
          <w:bottom w:val="single" w:sz="4" w:space="1" w:color="auto"/>
          <w:right w:val="single" w:sz="4" w:space="4" w:color="auto"/>
        </w:pBdr>
        <w:jc w:val="both"/>
        <w:rPr>
          <w:rFonts w:asciiTheme="minorHAnsi" w:hAnsiTheme="minorHAnsi"/>
          <w:sz w:val="19"/>
          <w:szCs w:val="19"/>
        </w:rPr>
      </w:pPr>
      <w:proofErr w:type="spellStart"/>
      <w:r w:rsidRPr="003130B7">
        <w:rPr>
          <w:rFonts w:asciiTheme="minorHAnsi" w:hAnsiTheme="minorHAnsi"/>
          <w:sz w:val="19"/>
          <w:szCs w:val="19"/>
        </w:rPr>
        <w:t>Takođe</w:t>
      </w:r>
      <w:proofErr w:type="spellEnd"/>
      <w:r w:rsidRPr="003130B7">
        <w:rPr>
          <w:rFonts w:asciiTheme="minorHAnsi" w:hAnsiTheme="minorHAnsi"/>
          <w:sz w:val="19"/>
          <w:szCs w:val="19"/>
        </w:rPr>
        <w:t xml:space="preserve">, u </w:t>
      </w:r>
      <w:proofErr w:type="spellStart"/>
      <w:r w:rsidRPr="003130B7">
        <w:rPr>
          <w:rFonts w:asciiTheme="minorHAnsi" w:hAnsiTheme="minorHAnsi"/>
          <w:sz w:val="19"/>
          <w:szCs w:val="19"/>
        </w:rPr>
        <w:t>Studiji</w:t>
      </w:r>
      <w:proofErr w:type="spellEnd"/>
      <w:r w:rsidRPr="003130B7">
        <w:rPr>
          <w:rFonts w:asciiTheme="minorHAnsi" w:hAnsiTheme="minorHAnsi"/>
          <w:sz w:val="19"/>
          <w:szCs w:val="19"/>
        </w:rPr>
        <w:t xml:space="preserve"> UNICEF-a </w:t>
      </w:r>
      <w:proofErr w:type="spellStart"/>
      <w:r w:rsidRPr="003130B7">
        <w:rPr>
          <w:rFonts w:asciiTheme="minorHAnsi" w:hAnsiTheme="minorHAnsi"/>
          <w:sz w:val="19"/>
          <w:szCs w:val="19"/>
        </w:rPr>
        <w:t>iz</w:t>
      </w:r>
      <w:proofErr w:type="spellEnd"/>
      <w:r w:rsidRPr="003130B7">
        <w:rPr>
          <w:rFonts w:asciiTheme="minorHAnsi" w:hAnsiTheme="minorHAnsi"/>
          <w:sz w:val="19"/>
          <w:szCs w:val="19"/>
        </w:rPr>
        <w:t xml:space="preserve"> 2012. </w:t>
      </w:r>
      <w:proofErr w:type="spellStart"/>
      <w:r w:rsidRPr="003130B7">
        <w:rPr>
          <w:rFonts w:asciiTheme="minorHAnsi" w:hAnsiTheme="minorHAnsi"/>
          <w:sz w:val="19"/>
          <w:szCs w:val="19"/>
        </w:rPr>
        <w:t>godine</w:t>
      </w:r>
      <w:proofErr w:type="spellEnd"/>
      <w:r w:rsidRPr="003130B7">
        <w:rPr>
          <w:rFonts w:asciiTheme="minorHAnsi" w:hAnsiTheme="minorHAnsi"/>
          <w:sz w:val="19"/>
          <w:szCs w:val="19"/>
        </w:rPr>
        <w:t xml:space="preserve"> se </w:t>
      </w:r>
      <w:proofErr w:type="spellStart"/>
      <w:r w:rsidRPr="003130B7">
        <w:rPr>
          <w:rFonts w:asciiTheme="minorHAnsi" w:hAnsiTheme="minorHAnsi"/>
          <w:sz w:val="19"/>
          <w:szCs w:val="19"/>
        </w:rPr>
        <w:t>navodi</w:t>
      </w:r>
      <w:proofErr w:type="spellEnd"/>
      <w:r w:rsidRPr="003130B7">
        <w:rPr>
          <w:rFonts w:asciiTheme="minorHAnsi" w:hAnsiTheme="minorHAnsi"/>
          <w:sz w:val="19"/>
          <w:szCs w:val="19"/>
        </w:rPr>
        <w:t xml:space="preserve"> da </w:t>
      </w:r>
      <w:proofErr w:type="spellStart"/>
      <w:r w:rsidRPr="003130B7">
        <w:rPr>
          <w:rFonts w:asciiTheme="minorHAnsi" w:hAnsiTheme="minorHAnsi"/>
          <w:sz w:val="19"/>
          <w:szCs w:val="19"/>
        </w:rPr>
        <w:t>i</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roditelje</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treba</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bolje</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upoznati</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sa</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prednostima</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predškolskog</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obrazovanja</w:t>
      </w:r>
      <w:proofErr w:type="spellEnd"/>
      <w:r w:rsidRPr="003130B7">
        <w:rPr>
          <w:rFonts w:asciiTheme="minorHAnsi" w:hAnsiTheme="minorHAnsi"/>
          <w:sz w:val="19"/>
          <w:szCs w:val="19"/>
        </w:rPr>
        <w:t>.  “</w:t>
      </w:r>
      <w:proofErr w:type="spellStart"/>
      <w:r w:rsidRPr="003130B7">
        <w:rPr>
          <w:rFonts w:asciiTheme="minorHAnsi" w:hAnsiTheme="minorHAnsi"/>
          <w:sz w:val="19"/>
          <w:szCs w:val="19"/>
        </w:rPr>
        <w:t>Osim</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nedostatka</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fizičkih</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kapaciteta</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i</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troškova</w:t>
      </w:r>
      <w:proofErr w:type="spellEnd"/>
      <w:r w:rsidRPr="003130B7">
        <w:rPr>
          <w:rFonts w:asciiTheme="minorHAnsi" w:hAnsiTheme="minorHAnsi"/>
          <w:sz w:val="19"/>
          <w:szCs w:val="19"/>
        </w:rPr>
        <w:t xml:space="preserve"> koji </w:t>
      </w:r>
      <w:proofErr w:type="spellStart"/>
      <w:r w:rsidRPr="003130B7">
        <w:rPr>
          <w:rFonts w:asciiTheme="minorHAnsi" w:hAnsiTheme="minorHAnsi"/>
          <w:sz w:val="19"/>
          <w:szCs w:val="19"/>
        </w:rPr>
        <w:t>proističu</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iz</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pohađanja</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predškolskog</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obrazovanja</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što</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predstavlja</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prepreke</w:t>
      </w:r>
      <w:proofErr w:type="spellEnd"/>
      <w:r w:rsidRPr="003130B7">
        <w:rPr>
          <w:rFonts w:asciiTheme="minorHAnsi" w:hAnsiTheme="minorHAnsi"/>
          <w:sz w:val="19"/>
          <w:szCs w:val="19"/>
        </w:rPr>
        <w:t xml:space="preserve"> u </w:t>
      </w:r>
      <w:proofErr w:type="spellStart"/>
      <w:r w:rsidRPr="003130B7">
        <w:rPr>
          <w:rFonts w:asciiTheme="minorHAnsi" w:hAnsiTheme="minorHAnsi"/>
          <w:sz w:val="19"/>
          <w:szCs w:val="19"/>
        </w:rPr>
        <w:t>dostizanju</w:t>
      </w:r>
      <w:proofErr w:type="spellEnd"/>
      <w:r w:rsidR="002A5686">
        <w:rPr>
          <w:rFonts w:asciiTheme="minorHAnsi" w:hAnsiTheme="minorHAnsi"/>
          <w:sz w:val="19"/>
          <w:szCs w:val="19"/>
        </w:rPr>
        <w:t xml:space="preserve"> </w:t>
      </w:r>
      <w:proofErr w:type="spellStart"/>
      <w:r w:rsidRPr="003130B7">
        <w:rPr>
          <w:rFonts w:asciiTheme="minorHAnsi" w:hAnsiTheme="minorHAnsi"/>
          <w:sz w:val="19"/>
          <w:szCs w:val="19"/>
        </w:rPr>
        <w:t>većeg</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obuhvata</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više</w:t>
      </w:r>
      <w:proofErr w:type="spellEnd"/>
      <w:r w:rsidRPr="003130B7">
        <w:rPr>
          <w:rFonts w:asciiTheme="minorHAnsi" w:hAnsiTheme="minorHAnsi"/>
          <w:sz w:val="19"/>
          <w:szCs w:val="19"/>
        </w:rPr>
        <w:t xml:space="preserve"> od </w:t>
      </w:r>
      <w:proofErr w:type="spellStart"/>
      <w:r w:rsidRPr="003130B7">
        <w:rPr>
          <w:rFonts w:asciiTheme="minorHAnsi" w:hAnsiTheme="minorHAnsi"/>
          <w:sz w:val="19"/>
          <w:szCs w:val="19"/>
        </w:rPr>
        <w:t>polovine</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roditelja</w:t>
      </w:r>
      <w:proofErr w:type="spellEnd"/>
      <w:r w:rsidRPr="003130B7">
        <w:rPr>
          <w:rFonts w:asciiTheme="minorHAnsi" w:hAnsiTheme="minorHAnsi"/>
          <w:sz w:val="19"/>
          <w:szCs w:val="19"/>
        </w:rPr>
        <w:t xml:space="preserve"> ne </w:t>
      </w:r>
      <w:proofErr w:type="spellStart"/>
      <w:r w:rsidRPr="003130B7">
        <w:rPr>
          <w:rFonts w:asciiTheme="minorHAnsi" w:hAnsiTheme="minorHAnsi"/>
          <w:sz w:val="19"/>
          <w:szCs w:val="19"/>
        </w:rPr>
        <w:t>prepoznaje</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značaj</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predškolskog</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obrazovanja</w:t>
      </w:r>
      <w:proofErr w:type="spellEnd"/>
      <w:r w:rsidRPr="003130B7">
        <w:rPr>
          <w:rFonts w:asciiTheme="minorHAnsi" w:hAnsiTheme="minorHAnsi"/>
          <w:sz w:val="19"/>
          <w:szCs w:val="19"/>
        </w:rPr>
        <w:t xml:space="preserve"> za </w:t>
      </w:r>
      <w:proofErr w:type="spellStart"/>
      <w:r w:rsidRPr="003130B7">
        <w:rPr>
          <w:rFonts w:asciiTheme="minorHAnsi" w:hAnsiTheme="minorHAnsi"/>
          <w:sz w:val="19"/>
          <w:szCs w:val="19"/>
        </w:rPr>
        <w:t>razvoj</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svoje</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dece</w:t>
      </w:r>
      <w:proofErr w:type="spellEnd"/>
      <w:r w:rsidRPr="003130B7">
        <w:rPr>
          <w:rFonts w:asciiTheme="minorHAnsi" w:hAnsiTheme="minorHAnsi"/>
          <w:sz w:val="19"/>
          <w:szCs w:val="19"/>
        </w:rPr>
        <w:t>”.</w:t>
      </w:r>
    </w:p>
    <w:p w14:paraId="4210DE4B" w14:textId="77777777" w:rsidR="00DB5D24" w:rsidRPr="003130B7" w:rsidRDefault="00DB5D24" w:rsidP="00DB5D24">
      <w:pPr>
        <w:pBdr>
          <w:top w:val="single" w:sz="4" w:space="1" w:color="auto"/>
          <w:left w:val="single" w:sz="4" w:space="4" w:color="auto"/>
          <w:bottom w:val="single" w:sz="4" w:space="1" w:color="auto"/>
          <w:right w:val="single" w:sz="4" w:space="4" w:color="auto"/>
        </w:pBdr>
        <w:jc w:val="both"/>
        <w:rPr>
          <w:rFonts w:asciiTheme="minorHAnsi" w:hAnsiTheme="minorHAnsi"/>
          <w:sz w:val="19"/>
          <w:szCs w:val="19"/>
        </w:rPr>
      </w:pPr>
    </w:p>
    <w:p w14:paraId="1C2CBBBD" w14:textId="77777777" w:rsidR="00DB5D24" w:rsidRDefault="00DB5D24" w:rsidP="00DB5D24">
      <w:pPr>
        <w:jc w:val="both"/>
        <w:rPr>
          <w:sz w:val="22"/>
          <w:szCs w:val="22"/>
        </w:rPr>
      </w:pPr>
    </w:p>
    <w:p w14:paraId="2AC91A8F" w14:textId="30F272C9" w:rsidR="00C12EDD" w:rsidRDefault="006B3DA6" w:rsidP="00DB5D24">
      <w:pPr>
        <w:jc w:val="both"/>
        <w:rPr>
          <w:rFonts w:asciiTheme="minorHAnsi" w:hAnsiTheme="minorHAnsi" w:cstheme="minorHAnsi"/>
          <w:sz w:val="22"/>
          <w:szCs w:val="22"/>
        </w:rPr>
      </w:pPr>
      <w:proofErr w:type="spellStart"/>
      <w:r w:rsidRPr="00F07BB2">
        <w:rPr>
          <w:rFonts w:asciiTheme="minorHAnsi" w:hAnsiTheme="minorHAnsi" w:cstheme="minorHAnsi"/>
          <w:b/>
          <w:i/>
          <w:sz w:val="22"/>
          <w:szCs w:val="22"/>
        </w:rPr>
        <w:t>Obuhvat</w:t>
      </w:r>
      <w:proofErr w:type="spellEnd"/>
      <w:r w:rsidRPr="00F07BB2">
        <w:rPr>
          <w:rFonts w:asciiTheme="minorHAnsi" w:hAnsiTheme="minorHAnsi" w:cstheme="minorHAnsi"/>
          <w:b/>
          <w:i/>
          <w:sz w:val="22"/>
          <w:szCs w:val="22"/>
        </w:rPr>
        <w:t xml:space="preserve"> </w:t>
      </w:r>
      <w:proofErr w:type="spellStart"/>
      <w:r w:rsidRPr="00F07BB2">
        <w:rPr>
          <w:rFonts w:asciiTheme="minorHAnsi" w:hAnsiTheme="minorHAnsi" w:cstheme="minorHAnsi"/>
          <w:b/>
          <w:i/>
          <w:sz w:val="22"/>
          <w:szCs w:val="22"/>
        </w:rPr>
        <w:t>dece</w:t>
      </w:r>
      <w:proofErr w:type="spellEnd"/>
      <w:r w:rsidRPr="00F07BB2">
        <w:rPr>
          <w:rFonts w:asciiTheme="minorHAnsi" w:hAnsiTheme="minorHAnsi" w:cstheme="minorHAnsi"/>
          <w:b/>
          <w:i/>
          <w:sz w:val="22"/>
          <w:szCs w:val="22"/>
        </w:rPr>
        <w:t xml:space="preserve"> </w:t>
      </w:r>
      <w:proofErr w:type="spellStart"/>
      <w:r w:rsidRPr="00F07BB2">
        <w:rPr>
          <w:rFonts w:asciiTheme="minorHAnsi" w:hAnsiTheme="minorHAnsi" w:cstheme="minorHAnsi"/>
          <w:b/>
          <w:i/>
          <w:sz w:val="22"/>
          <w:szCs w:val="22"/>
        </w:rPr>
        <w:t>predškolskim</w:t>
      </w:r>
      <w:proofErr w:type="spellEnd"/>
      <w:r w:rsidRPr="00F07BB2">
        <w:rPr>
          <w:rFonts w:asciiTheme="minorHAnsi" w:hAnsiTheme="minorHAnsi" w:cstheme="minorHAnsi"/>
          <w:b/>
          <w:i/>
          <w:sz w:val="22"/>
          <w:szCs w:val="22"/>
        </w:rPr>
        <w:t xml:space="preserve"> </w:t>
      </w:r>
      <w:proofErr w:type="spellStart"/>
      <w:r w:rsidRPr="00F07BB2">
        <w:rPr>
          <w:rFonts w:asciiTheme="minorHAnsi" w:hAnsiTheme="minorHAnsi" w:cstheme="minorHAnsi"/>
          <w:b/>
          <w:i/>
          <w:sz w:val="22"/>
          <w:szCs w:val="22"/>
        </w:rPr>
        <w:t>obrazovanjem</w:t>
      </w:r>
      <w:proofErr w:type="spellEnd"/>
      <w:r w:rsidRPr="00F07BB2">
        <w:rPr>
          <w:rFonts w:asciiTheme="minorHAnsi" w:hAnsiTheme="minorHAnsi" w:cstheme="minorHAnsi"/>
          <w:b/>
          <w:i/>
          <w:sz w:val="22"/>
          <w:szCs w:val="22"/>
        </w:rPr>
        <w:t xml:space="preserve"> </w:t>
      </w:r>
      <w:proofErr w:type="spellStart"/>
      <w:r w:rsidRPr="00F07BB2">
        <w:rPr>
          <w:rFonts w:asciiTheme="minorHAnsi" w:hAnsiTheme="minorHAnsi" w:cstheme="minorHAnsi"/>
          <w:b/>
          <w:i/>
          <w:sz w:val="22"/>
          <w:szCs w:val="22"/>
        </w:rPr>
        <w:t>i</w:t>
      </w:r>
      <w:proofErr w:type="spellEnd"/>
      <w:r w:rsidRPr="00F07BB2">
        <w:rPr>
          <w:rFonts w:asciiTheme="minorHAnsi" w:hAnsiTheme="minorHAnsi" w:cstheme="minorHAnsi"/>
          <w:b/>
          <w:i/>
          <w:sz w:val="22"/>
          <w:szCs w:val="22"/>
        </w:rPr>
        <w:t xml:space="preserve"> </w:t>
      </w:r>
      <w:proofErr w:type="spellStart"/>
      <w:r w:rsidRPr="00F07BB2">
        <w:rPr>
          <w:rFonts w:asciiTheme="minorHAnsi" w:hAnsiTheme="minorHAnsi" w:cstheme="minorHAnsi"/>
          <w:b/>
          <w:i/>
          <w:sz w:val="22"/>
          <w:szCs w:val="22"/>
        </w:rPr>
        <w:t>vaspitanjem</w:t>
      </w:r>
      <w:proofErr w:type="spellEnd"/>
      <w:r w:rsidR="00F07BB2" w:rsidRPr="00F07BB2">
        <w:rPr>
          <w:rFonts w:asciiTheme="minorHAnsi" w:hAnsiTheme="minorHAnsi" w:cstheme="minorHAnsi"/>
          <w:b/>
          <w:i/>
          <w:sz w:val="22"/>
          <w:szCs w:val="22"/>
        </w:rPr>
        <w:t xml:space="preserve"> u</w:t>
      </w:r>
      <w:r w:rsidR="008162B4">
        <w:rPr>
          <w:rFonts w:asciiTheme="minorHAnsi" w:hAnsiTheme="minorHAnsi" w:cstheme="minorHAnsi"/>
          <w:b/>
          <w:i/>
          <w:sz w:val="22"/>
          <w:szCs w:val="22"/>
        </w:rPr>
        <w:t xml:space="preserve"> </w:t>
      </w:r>
      <w:proofErr w:type="spellStart"/>
      <w:r w:rsidR="00C12EDD">
        <w:rPr>
          <w:rFonts w:asciiTheme="minorHAnsi" w:hAnsiTheme="minorHAnsi" w:cstheme="minorHAnsi"/>
          <w:b/>
          <w:i/>
          <w:sz w:val="22"/>
          <w:szCs w:val="22"/>
        </w:rPr>
        <w:t>Baču</w:t>
      </w:r>
      <w:proofErr w:type="spellEnd"/>
      <w:r w:rsidR="008162B4">
        <w:rPr>
          <w:rFonts w:asciiTheme="minorHAnsi" w:hAnsiTheme="minorHAnsi" w:cstheme="minorHAnsi"/>
          <w:b/>
          <w:i/>
          <w:sz w:val="22"/>
          <w:szCs w:val="22"/>
        </w:rPr>
        <w:t xml:space="preserve"> </w:t>
      </w:r>
      <w:proofErr w:type="spellStart"/>
      <w:r w:rsidR="005578B7">
        <w:rPr>
          <w:rFonts w:asciiTheme="minorHAnsi" w:hAnsiTheme="minorHAnsi" w:cstheme="minorHAnsi"/>
          <w:b/>
          <w:i/>
          <w:sz w:val="22"/>
          <w:szCs w:val="22"/>
        </w:rPr>
        <w:t>pokazuje</w:t>
      </w:r>
      <w:proofErr w:type="spellEnd"/>
      <w:r w:rsidR="005578B7">
        <w:rPr>
          <w:rFonts w:asciiTheme="minorHAnsi" w:hAnsiTheme="minorHAnsi" w:cstheme="minorHAnsi"/>
          <w:b/>
          <w:i/>
          <w:sz w:val="22"/>
          <w:szCs w:val="22"/>
        </w:rPr>
        <w:t xml:space="preserve"> trend </w:t>
      </w:r>
      <w:proofErr w:type="spellStart"/>
      <w:r w:rsidR="005578B7">
        <w:rPr>
          <w:rFonts w:asciiTheme="minorHAnsi" w:hAnsiTheme="minorHAnsi" w:cstheme="minorHAnsi"/>
          <w:b/>
          <w:i/>
          <w:sz w:val="22"/>
          <w:szCs w:val="22"/>
        </w:rPr>
        <w:t>rasta</w:t>
      </w:r>
      <w:proofErr w:type="spellEnd"/>
      <w:r w:rsidR="005578B7">
        <w:rPr>
          <w:rFonts w:asciiTheme="minorHAnsi" w:hAnsiTheme="minorHAnsi" w:cstheme="minorHAnsi"/>
          <w:b/>
          <w:i/>
          <w:sz w:val="22"/>
          <w:szCs w:val="22"/>
        </w:rPr>
        <w:t xml:space="preserve"> </w:t>
      </w:r>
      <w:proofErr w:type="spellStart"/>
      <w:r w:rsidR="00C12EDD">
        <w:rPr>
          <w:rFonts w:asciiTheme="minorHAnsi" w:hAnsiTheme="minorHAnsi" w:cstheme="minorHAnsi"/>
          <w:b/>
          <w:i/>
          <w:sz w:val="22"/>
          <w:szCs w:val="22"/>
        </w:rPr>
        <w:t>posebno</w:t>
      </w:r>
      <w:proofErr w:type="spellEnd"/>
      <w:r w:rsidR="00C12EDD">
        <w:rPr>
          <w:rFonts w:asciiTheme="minorHAnsi" w:hAnsiTheme="minorHAnsi" w:cstheme="minorHAnsi"/>
          <w:b/>
          <w:i/>
          <w:sz w:val="22"/>
          <w:szCs w:val="22"/>
        </w:rPr>
        <w:t xml:space="preserve"> za </w:t>
      </w:r>
      <w:proofErr w:type="spellStart"/>
      <w:r w:rsidR="00C12EDD">
        <w:rPr>
          <w:rFonts w:asciiTheme="minorHAnsi" w:hAnsiTheme="minorHAnsi" w:cstheme="minorHAnsi"/>
          <w:b/>
          <w:i/>
          <w:sz w:val="22"/>
          <w:szCs w:val="22"/>
        </w:rPr>
        <w:t>jasleni</w:t>
      </w:r>
      <w:proofErr w:type="spellEnd"/>
      <w:r w:rsidR="00C12EDD">
        <w:rPr>
          <w:rFonts w:asciiTheme="minorHAnsi" w:hAnsiTheme="minorHAnsi" w:cstheme="minorHAnsi"/>
          <w:b/>
          <w:i/>
          <w:sz w:val="22"/>
          <w:szCs w:val="22"/>
        </w:rPr>
        <w:t xml:space="preserve"> </w:t>
      </w:r>
      <w:proofErr w:type="spellStart"/>
      <w:r w:rsidR="00C12EDD">
        <w:rPr>
          <w:rFonts w:asciiTheme="minorHAnsi" w:hAnsiTheme="minorHAnsi" w:cstheme="minorHAnsi"/>
          <w:b/>
          <w:i/>
          <w:sz w:val="22"/>
          <w:szCs w:val="22"/>
        </w:rPr>
        <w:t>uzrast</w:t>
      </w:r>
      <w:proofErr w:type="spellEnd"/>
      <w:r w:rsidR="00C12EDD">
        <w:rPr>
          <w:rFonts w:asciiTheme="minorHAnsi" w:hAnsiTheme="minorHAnsi" w:cstheme="minorHAnsi"/>
          <w:b/>
          <w:i/>
          <w:sz w:val="22"/>
          <w:szCs w:val="22"/>
        </w:rPr>
        <w:t xml:space="preserve"> </w:t>
      </w:r>
      <w:proofErr w:type="spellStart"/>
      <w:r w:rsidR="00C12EDD">
        <w:rPr>
          <w:rFonts w:asciiTheme="minorHAnsi" w:hAnsiTheme="minorHAnsi" w:cstheme="minorHAnsi"/>
          <w:sz w:val="22"/>
          <w:szCs w:val="22"/>
        </w:rPr>
        <w:t>gde</w:t>
      </w:r>
      <w:proofErr w:type="spellEnd"/>
      <w:r w:rsidR="00C12EDD">
        <w:rPr>
          <w:rFonts w:asciiTheme="minorHAnsi" w:hAnsiTheme="minorHAnsi" w:cstheme="minorHAnsi"/>
          <w:sz w:val="22"/>
          <w:szCs w:val="22"/>
        </w:rPr>
        <w:t xml:space="preserve"> je </w:t>
      </w:r>
      <w:proofErr w:type="spellStart"/>
      <w:r w:rsidR="00C12EDD">
        <w:rPr>
          <w:rFonts w:asciiTheme="minorHAnsi" w:hAnsiTheme="minorHAnsi" w:cstheme="minorHAnsi"/>
          <w:sz w:val="22"/>
          <w:szCs w:val="22"/>
        </w:rPr>
        <w:t>obuhvat</w:t>
      </w:r>
      <w:proofErr w:type="spellEnd"/>
      <w:r w:rsidR="00C12EDD">
        <w:rPr>
          <w:rFonts w:asciiTheme="minorHAnsi" w:hAnsiTheme="minorHAnsi" w:cstheme="minorHAnsi"/>
          <w:sz w:val="22"/>
          <w:szCs w:val="22"/>
        </w:rPr>
        <w:t xml:space="preserve"> </w:t>
      </w:r>
      <w:proofErr w:type="spellStart"/>
      <w:r w:rsidR="00C12EDD">
        <w:rPr>
          <w:rFonts w:asciiTheme="minorHAnsi" w:hAnsiTheme="minorHAnsi" w:cstheme="minorHAnsi"/>
          <w:sz w:val="22"/>
          <w:szCs w:val="22"/>
        </w:rPr>
        <w:t>početkom</w:t>
      </w:r>
      <w:proofErr w:type="spellEnd"/>
      <w:r w:rsidR="00C12EDD">
        <w:rPr>
          <w:rFonts w:asciiTheme="minorHAnsi" w:hAnsiTheme="minorHAnsi" w:cstheme="minorHAnsi"/>
          <w:sz w:val="22"/>
          <w:szCs w:val="22"/>
        </w:rPr>
        <w:t xml:space="preserve"> </w:t>
      </w:r>
      <w:proofErr w:type="spellStart"/>
      <w:r w:rsidR="00C12EDD">
        <w:rPr>
          <w:rFonts w:asciiTheme="minorHAnsi" w:hAnsiTheme="minorHAnsi" w:cstheme="minorHAnsi"/>
          <w:sz w:val="22"/>
          <w:szCs w:val="22"/>
        </w:rPr>
        <w:t>prošle</w:t>
      </w:r>
      <w:proofErr w:type="spellEnd"/>
      <w:r w:rsidR="00C12EDD">
        <w:rPr>
          <w:rFonts w:asciiTheme="minorHAnsi" w:hAnsiTheme="minorHAnsi" w:cstheme="minorHAnsi"/>
          <w:sz w:val="22"/>
          <w:szCs w:val="22"/>
        </w:rPr>
        <w:t xml:space="preserve"> </w:t>
      </w:r>
      <w:proofErr w:type="spellStart"/>
      <w:r w:rsidR="00C12EDD">
        <w:rPr>
          <w:rFonts w:asciiTheme="minorHAnsi" w:hAnsiTheme="minorHAnsi" w:cstheme="minorHAnsi"/>
          <w:sz w:val="22"/>
          <w:szCs w:val="22"/>
        </w:rPr>
        <w:t>decenije</w:t>
      </w:r>
      <w:proofErr w:type="spellEnd"/>
      <w:r w:rsidR="00C12EDD">
        <w:rPr>
          <w:rFonts w:asciiTheme="minorHAnsi" w:hAnsiTheme="minorHAnsi" w:cstheme="minorHAnsi"/>
          <w:sz w:val="22"/>
          <w:szCs w:val="22"/>
        </w:rPr>
        <w:t xml:space="preserve"> </w:t>
      </w:r>
      <w:proofErr w:type="spellStart"/>
      <w:r w:rsidR="00C12EDD">
        <w:rPr>
          <w:rFonts w:asciiTheme="minorHAnsi" w:hAnsiTheme="minorHAnsi" w:cstheme="minorHAnsi"/>
          <w:sz w:val="22"/>
          <w:szCs w:val="22"/>
        </w:rPr>
        <w:t>iznosio</w:t>
      </w:r>
      <w:proofErr w:type="spellEnd"/>
      <w:r w:rsidR="00C12EDD">
        <w:rPr>
          <w:rFonts w:asciiTheme="minorHAnsi" w:hAnsiTheme="minorHAnsi" w:cstheme="minorHAnsi"/>
          <w:sz w:val="22"/>
          <w:szCs w:val="22"/>
        </w:rPr>
        <w:t xml:space="preserve"> </w:t>
      </w:r>
      <w:proofErr w:type="spellStart"/>
      <w:r w:rsidR="00C12EDD">
        <w:rPr>
          <w:rFonts w:asciiTheme="minorHAnsi" w:hAnsiTheme="minorHAnsi" w:cstheme="minorHAnsi"/>
          <w:sz w:val="22"/>
          <w:szCs w:val="22"/>
        </w:rPr>
        <w:t>samo</w:t>
      </w:r>
      <w:proofErr w:type="spellEnd"/>
      <w:r w:rsidR="00C12EDD">
        <w:rPr>
          <w:rFonts w:asciiTheme="minorHAnsi" w:hAnsiTheme="minorHAnsi" w:cstheme="minorHAnsi"/>
          <w:sz w:val="22"/>
          <w:szCs w:val="22"/>
        </w:rPr>
        <w:t xml:space="preserve"> 5% da bi u 2019. </w:t>
      </w:r>
      <w:proofErr w:type="spellStart"/>
      <w:r w:rsidR="00C12EDD">
        <w:rPr>
          <w:rFonts w:asciiTheme="minorHAnsi" w:hAnsiTheme="minorHAnsi" w:cstheme="minorHAnsi"/>
          <w:sz w:val="22"/>
          <w:szCs w:val="22"/>
        </w:rPr>
        <w:t>dostigao</w:t>
      </w:r>
      <w:proofErr w:type="spellEnd"/>
      <w:r w:rsidR="00C12EDD">
        <w:rPr>
          <w:rFonts w:asciiTheme="minorHAnsi" w:hAnsiTheme="minorHAnsi" w:cstheme="minorHAnsi"/>
          <w:sz w:val="22"/>
          <w:szCs w:val="22"/>
        </w:rPr>
        <w:t xml:space="preserve"> </w:t>
      </w:r>
      <w:proofErr w:type="spellStart"/>
      <w:r w:rsidR="00C12EDD">
        <w:rPr>
          <w:rFonts w:asciiTheme="minorHAnsi" w:hAnsiTheme="minorHAnsi" w:cstheme="minorHAnsi"/>
          <w:sz w:val="22"/>
          <w:szCs w:val="22"/>
        </w:rPr>
        <w:t>čak</w:t>
      </w:r>
      <w:proofErr w:type="spellEnd"/>
      <w:r w:rsidR="00C12EDD">
        <w:rPr>
          <w:rFonts w:asciiTheme="minorHAnsi" w:hAnsiTheme="minorHAnsi" w:cstheme="minorHAnsi"/>
          <w:sz w:val="22"/>
          <w:szCs w:val="22"/>
        </w:rPr>
        <w:t xml:space="preserve"> 19% </w:t>
      </w:r>
      <w:r w:rsidR="00C12EDD" w:rsidRPr="00C12EDD">
        <w:rPr>
          <w:rFonts w:asciiTheme="minorHAnsi" w:hAnsiTheme="minorHAnsi" w:cstheme="minorHAnsi"/>
          <w:i/>
          <w:sz w:val="22"/>
          <w:szCs w:val="22"/>
        </w:rPr>
        <w:t>(</w:t>
      </w:r>
      <w:proofErr w:type="spellStart"/>
      <w:r w:rsidR="00C12EDD" w:rsidRPr="00C12EDD">
        <w:rPr>
          <w:rFonts w:asciiTheme="minorHAnsi" w:hAnsiTheme="minorHAnsi" w:cstheme="minorHAnsi"/>
          <w:i/>
          <w:sz w:val="22"/>
          <w:szCs w:val="22"/>
        </w:rPr>
        <w:t>Grafikon</w:t>
      </w:r>
      <w:proofErr w:type="spellEnd"/>
      <w:r w:rsidR="00C12EDD" w:rsidRPr="00C12EDD">
        <w:rPr>
          <w:rFonts w:asciiTheme="minorHAnsi" w:hAnsiTheme="minorHAnsi" w:cstheme="minorHAnsi"/>
          <w:i/>
          <w:sz w:val="22"/>
          <w:szCs w:val="22"/>
        </w:rPr>
        <w:t xml:space="preserve"> 1.)</w:t>
      </w:r>
      <w:r w:rsidR="00C66AFF" w:rsidRPr="00C12EDD">
        <w:rPr>
          <w:rFonts w:asciiTheme="minorHAnsi" w:hAnsiTheme="minorHAnsi" w:cstheme="minorHAnsi"/>
          <w:i/>
          <w:sz w:val="22"/>
          <w:szCs w:val="22"/>
        </w:rPr>
        <w:t xml:space="preserve">. </w:t>
      </w:r>
      <w:proofErr w:type="spellStart"/>
      <w:r w:rsidR="00C12EDD" w:rsidRPr="00C12EDD">
        <w:rPr>
          <w:rFonts w:asciiTheme="minorHAnsi" w:hAnsiTheme="minorHAnsi" w:cstheme="minorHAnsi"/>
          <w:sz w:val="22"/>
          <w:szCs w:val="22"/>
        </w:rPr>
        <w:t>Što</w:t>
      </w:r>
      <w:proofErr w:type="spellEnd"/>
      <w:r w:rsidR="00C12EDD">
        <w:rPr>
          <w:rFonts w:asciiTheme="minorHAnsi" w:hAnsiTheme="minorHAnsi" w:cstheme="minorHAnsi"/>
          <w:sz w:val="22"/>
          <w:szCs w:val="22"/>
        </w:rPr>
        <w:t xml:space="preserve"> se </w:t>
      </w:r>
      <w:proofErr w:type="spellStart"/>
      <w:r w:rsidR="00C12EDD">
        <w:rPr>
          <w:rFonts w:asciiTheme="minorHAnsi" w:hAnsiTheme="minorHAnsi" w:cstheme="minorHAnsi"/>
          <w:sz w:val="22"/>
          <w:szCs w:val="22"/>
        </w:rPr>
        <w:t>tiče</w:t>
      </w:r>
      <w:proofErr w:type="spellEnd"/>
      <w:r w:rsidR="00C12EDD">
        <w:rPr>
          <w:rFonts w:asciiTheme="minorHAnsi" w:hAnsiTheme="minorHAnsi" w:cstheme="minorHAnsi"/>
          <w:sz w:val="22"/>
          <w:szCs w:val="22"/>
        </w:rPr>
        <w:t xml:space="preserve"> </w:t>
      </w:r>
      <w:proofErr w:type="spellStart"/>
      <w:r w:rsidR="00C12EDD">
        <w:rPr>
          <w:rFonts w:asciiTheme="minorHAnsi" w:hAnsiTheme="minorHAnsi" w:cstheme="minorHAnsi"/>
          <w:sz w:val="22"/>
          <w:szCs w:val="22"/>
        </w:rPr>
        <w:t>obaveznog</w:t>
      </w:r>
      <w:proofErr w:type="spellEnd"/>
      <w:r w:rsidR="00C12EDD">
        <w:rPr>
          <w:rFonts w:asciiTheme="minorHAnsi" w:hAnsiTheme="minorHAnsi" w:cstheme="minorHAnsi"/>
          <w:sz w:val="22"/>
          <w:szCs w:val="22"/>
        </w:rPr>
        <w:t xml:space="preserve"> PPP-a </w:t>
      </w:r>
      <w:proofErr w:type="spellStart"/>
      <w:r w:rsidR="00C12EDD">
        <w:rPr>
          <w:rFonts w:asciiTheme="minorHAnsi" w:hAnsiTheme="minorHAnsi" w:cstheme="minorHAnsi"/>
          <w:sz w:val="22"/>
          <w:szCs w:val="22"/>
        </w:rPr>
        <w:t>primećuju</w:t>
      </w:r>
      <w:proofErr w:type="spellEnd"/>
      <w:r w:rsidR="00C12EDD">
        <w:rPr>
          <w:rFonts w:asciiTheme="minorHAnsi" w:hAnsiTheme="minorHAnsi" w:cstheme="minorHAnsi"/>
          <w:sz w:val="22"/>
          <w:szCs w:val="22"/>
        </w:rPr>
        <w:t xml:space="preserve"> se </w:t>
      </w:r>
      <w:proofErr w:type="spellStart"/>
      <w:r w:rsidR="00C12EDD">
        <w:rPr>
          <w:rFonts w:asciiTheme="minorHAnsi" w:hAnsiTheme="minorHAnsi" w:cstheme="minorHAnsi"/>
          <w:sz w:val="22"/>
          <w:szCs w:val="22"/>
        </w:rPr>
        <w:t>i</w:t>
      </w:r>
      <w:proofErr w:type="spellEnd"/>
      <w:r w:rsidR="00C12EDD">
        <w:rPr>
          <w:rFonts w:asciiTheme="minorHAnsi" w:hAnsiTheme="minorHAnsi" w:cstheme="minorHAnsi"/>
          <w:sz w:val="22"/>
          <w:szCs w:val="22"/>
        </w:rPr>
        <w:t xml:space="preserve"> </w:t>
      </w:r>
      <w:proofErr w:type="spellStart"/>
      <w:r w:rsidR="00C12EDD">
        <w:rPr>
          <w:rFonts w:asciiTheme="minorHAnsi" w:hAnsiTheme="minorHAnsi" w:cstheme="minorHAnsi"/>
          <w:sz w:val="22"/>
          <w:szCs w:val="22"/>
        </w:rPr>
        <w:t>vrednosti</w:t>
      </w:r>
      <w:proofErr w:type="spellEnd"/>
      <w:r w:rsidR="00C12EDD">
        <w:rPr>
          <w:rFonts w:asciiTheme="minorHAnsi" w:hAnsiTheme="minorHAnsi" w:cstheme="minorHAnsi"/>
          <w:sz w:val="22"/>
          <w:szCs w:val="22"/>
        </w:rPr>
        <w:t xml:space="preserve"> </w:t>
      </w:r>
      <w:proofErr w:type="spellStart"/>
      <w:r w:rsidR="00C12EDD">
        <w:rPr>
          <w:rFonts w:asciiTheme="minorHAnsi" w:hAnsiTheme="minorHAnsi" w:cstheme="minorHAnsi"/>
          <w:sz w:val="22"/>
          <w:szCs w:val="22"/>
        </w:rPr>
        <w:t>iznad</w:t>
      </w:r>
      <w:proofErr w:type="spellEnd"/>
      <w:r w:rsidR="00C12EDD">
        <w:rPr>
          <w:rFonts w:asciiTheme="minorHAnsi" w:hAnsiTheme="minorHAnsi" w:cstheme="minorHAnsi"/>
          <w:sz w:val="22"/>
          <w:szCs w:val="22"/>
        </w:rPr>
        <w:t xml:space="preserve"> 100% </w:t>
      </w:r>
      <w:proofErr w:type="spellStart"/>
      <w:r w:rsidR="00C12EDD">
        <w:rPr>
          <w:rFonts w:asciiTheme="minorHAnsi" w:hAnsiTheme="minorHAnsi" w:cstheme="minorHAnsi"/>
          <w:sz w:val="22"/>
          <w:szCs w:val="22"/>
        </w:rPr>
        <w:t>što</w:t>
      </w:r>
      <w:proofErr w:type="spellEnd"/>
      <w:r w:rsidR="00C12EDD">
        <w:rPr>
          <w:rFonts w:asciiTheme="minorHAnsi" w:hAnsiTheme="minorHAnsi" w:cstheme="minorHAnsi"/>
          <w:sz w:val="22"/>
          <w:szCs w:val="22"/>
        </w:rPr>
        <w:t xml:space="preserve"> </w:t>
      </w:r>
      <w:proofErr w:type="spellStart"/>
      <w:r w:rsidR="00C12EDD">
        <w:rPr>
          <w:rFonts w:asciiTheme="minorHAnsi" w:hAnsiTheme="minorHAnsi" w:cstheme="minorHAnsi"/>
          <w:sz w:val="22"/>
          <w:szCs w:val="22"/>
        </w:rPr>
        <w:t>može</w:t>
      </w:r>
      <w:proofErr w:type="spellEnd"/>
      <w:r w:rsidR="00C12EDD">
        <w:rPr>
          <w:rFonts w:asciiTheme="minorHAnsi" w:hAnsiTheme="minorHAnsi" w:cstheme="minorHAnsi"/>
          <w:sz w:val="22"/>
          <w:szCs w:val="22"/>
        </w:rPr>
        <w:t xml:space="preserve"> da </w:t>
      </w:r>
      <w:proofErr w:type="spellStart"/>
      <w:r w:rsidR="00C12EDD">
        <w:rPr>
          <w:rFonts w:asciiTheme="minorHAnsi" w:hAnsiTheme="minorHAnsi" w:cstheme="minorHAnsi"/>
          <w:sz w:val="22"/>
          <w:szCs w:val="22"/>
        </w:rPr>
        <w:t>ukaže</w:t>
      </w:r>
      <w:proofErr w:type="spellEnd"/>
      <w:r w:rsidR="00C12EDD">
        <w:rPr>
          <w:rFonts w:asciiTheme="minorHAnsi" w:hAnsiTheme="minorHAnsi" w:cstheme="minorHAnsi"/>
          <w:sz w:val="22"/>
          <w:szCs w:val="22"/>
        </w:rPr>
        <w:t xml:space="preserve"> </w:t>
      </w:r>
      <w:proofErr w:type="spellStart"/>
      <w:r w:rsidR="00C12EDD">
        <w:rPr>
          <w:rFonts w:asciiTheme="minorHAnsi" w:hAnsiTheme="minorHAnsi" w:cstheme="minorHAnsi"/>
          <w:sz w:val="22"/>
          <w:szCs w:val="22"/>
        </w:rPr>
        <w:t>na</w:t>
      </w:r>
      <w:proofErr w:type="spellEnd"/>
      <w:r w:rsidR="00C12EDD">
        <w:rPr>
          <w:rFonts w:asciiTheme="minorHAnsi" w:hAnsiTheme="minorHAnsi" w:cstheme="minorHAnsi"/>
          <w:sz w:val="22"/>
          <w:szCs w:val="22"/>
        </w:rPr>
        <w:t xml:space="preserve"> </w:t>
      </w:r>
      <w:proofErr w:type="spellStart"/>
      <w:r w:rsidR="00C12EDD">
        <w:rPr>
          <w:rFonts w:asciiTheme="minorHAnsi" w:hAnsiTheme="minorHAnsi" w:cstheme="minorHAnsi"/>
          <w:sz w:val="22"/>
          <w:szCs w:val="22"/>
        </w:rPr>
        <w:t>pohađanje</w:t>
      </w:r>
      <w:proofErr w:type="spellEnd"/>
      <w:r w:rsidR="00C12EDD">
        <w:rPr>
          <w:rFonts w:asciiTheme="minorHAnsi" w:hAnsiTheme="minorHAnsi" w:cstheme="minorHAnsi"/>
          <w:sz w:val="22"/>
          <w:szCs w:val="22"/>
        </w:rPr>
        <w:t xml:space="preserve"> PPP-a </w:t>
      </w:r>
      <w:proofErr w:type="spellStart"/>
      <w:r w:rsidR="00C12EDD">
        <w:rPr>
          <w:rFonts w:asciiTheme="minorHAnsi" w:hAnsiTheme="minorHAnsi" w:cstheme="minorHAnsi"/>
          <w:sz w:val="22"/>
          <w:szCs w:val="22"/>
        </w:rPr>
        <w:t>dece</w:t>
      </w:r>
      <w:proofErr w:type="spellEnd"/>
      <w:r w:rsidR="00C12EDD">
        <w:rPr>
          <w:rFonts w:asciiTheme="minorHAnsi" w:hAnsiTheme="minorHAnsi" w:cstheme="minorHAnsi"/>
          <w:sz w:val="22"/>
          <w:szCs w:val="22"/>
        </w:rPr>
        <w:t xml:space="preserve"> </w:t>
      </w:r>
      <w:proofErr w:type="spellStart"/>
      <w:r w:rsidR="00C12EDD">
        <w:rPr>
          <w:rFonts w:asciiTheme="minorHAnsi" w:hAnsiTheme="minorHAnsi" w:cstheme="minorHAnsi"/>
          <w:sz w:val="22"/>
          <w:szCs w:val="22"/>
        </w:rPr>
        <w:t>iz</w:t>
      </w:r>
      <w:proofErr w:type="spellEnd"/>
      <w:r w:rsidR="00C12EDD">
        <w:rPr>
          <w:rFonts w:asciiTheme="minorHAnsi" w:hAnsiTheme="minorHAnsi" w:cstheme="minorHAnsi"/>
          <w:sz w:val="22"/>
          <w:szCs w:val="22"/>
        </w:rPr>
        <w:t xml:space="preserve"> </w:t>
      </w:r>
      <w:proofErr w:type="spellStart"/>
      <w:r w:rsidR="00C12EDD">
        <w:rPr>
          <w:rFonts w:asciiTheme="minorHAnsi" w:hAnsiTheme="minorHAnsi" w:cstheme="minorHAnsi"/>
          <w:sz w:val="22"/>
          <w:szCs w:val="22"/>
        </w:rPr>
        <w:t>drugih</w:t>
      </w:r>
      <w:proofErr w:type="spellEnd"/>
      <w:r w:rsidR="00C12EDD">
        <w:rPr>
          <w:rFonts w:asciiTheme="minorHAnsi" w:hAnsiTheme="minorHAnsi" w:cstheme="minorHAnsi"/>
          <w:sz w:val="22"/>
          <w:szCs w:val="22"/>
        </w:rPr>
        <w:t xml:space="preserve"> </w:t>
      </w:r>
      <w:proofErr w:type="spellStart"/>
      <w:r w:rsidR="00C12EDD">
        <w:rPr>
          <w:rFonts w:asciiTheme="minorHAnsi" w:hAnsiTheme="minorHAnsi" w:cstheme="minorHAnsi"/>
          <w:sz w:val="22"/>
          <w:szCs w:val="22"/>
        </w:rPr>
        <w:t>opština</w:t>
      </w:r>
      <w:proofErr w:type="spellEnd"/>
      <w:r w:rsidR="00C12EDD">
        <w:rPr>
          <w:rFonts w:asciiTheme="minorHAnsi" w:hAnsiTheme="minorHAnsi" w:cstheme="minorHAnsi"/>
          <w:sz w:val="22"/>
          <w:szCs w:val="22"/>
        </w:rPr>
        <w:t xml:space="preserve">. </w:t>
      </w:r>
    </w:p>
    <w:p w14:paraId="602A4AA8" w14:textId="517EED5D" w:rsidR="003E2766" w:rsidRDefault="003E2766" w:rsidP="00DB5D24">
      <w:pPr>
        <w:jc w:val="both"/>
        <w:rPr>
          <w:rFonts w:asciiTheme="minorHAnsi" w:hAnsiTheme="minorHAnsi" w:cstheme="minorHAnsi"/>
          <w:sz w:val="22"/>
          <w:szCs w:val="22"/>
        </w:rPr>
      </w:pPr>
    </w:p>
    <w:p w14:paraId="0D64FCED" w14:textId="77777777" w:rsidR="003E2766" w:rsidRDefault="003E2766" w:rsidP="00DB5D24">
      <w:pPr>
        <w:jc w:val="both"/>
        <w:rPr>
          <w:rFonts w:asciiTheme="minorHAnsi" w:hAnsiTheme="minorHAnsi" w:cstheme="minorHAnsi"/>
          <w:sz w:val="22"/>
          <w:szCs w:val="22"/>
        </w:rPr>
      </w:pPr>
    </w:p>
    <w:p w14:paraId="5CD3CECA" w14:textId="77777777" w:rsidR="00A35190" w:rsidRDefault="00A35190" w:rsidP="004D7386">
      <w:pPr>
        <w:spacing w:after="60"/>
        <w:jc w:val="both"/>
        <w:rPr>
          <w:b/>
          <w:sz w:val="22"/>
          <w:szCs w:val="22"/>
        </w:rPr>
      </w:pPr>
    </w:p>
    <w:p w14:paraId="14FD52CB" w14:textId="3682373D" w:rsidR="00467422" w:rsidRPr="004D7386" w:rsidRDefault="00B3089C" w:rsidP="004D7386">
      <w:pPr>
        <w:spacing w:after="60"/>
        <w:jc w:val="both"/>
        <w:rPr>
          <w:rFonts w:ascii="Cambria" w:hAnsi="Cambria"/>
          <w:b/>
          <w:sz w:val="22"/>
          <w:szCs w:val="22"/>
        </w:rPr>
      </w:pPr>
      <w:proofErr w:type="spellStart"/>
      <w:r w:rsidRPr="00F31D38">
        <w:rPr>
          <w:rFonts w:ascii="Cambria" w:hAnsi="Cambria"/>
          <w:b/>
          <w:sz w:val="22"/>
          <w:szCs w:val="22"/>
        </w:rPr>
        <w:lastRenderedPageBreak/>
        <w:t>Grafikon</w:t>
      </w:r>
      <w:proofErr w:type="spellEnd"/>
      <w:r w:rsidRPr="00F31D38">
        <w:rPr>
          <w:rFonts w:ascii="Cambria" w:hAnsi="Cambria"/>
          <w:b/>
          <w:sz w:val="22"/>
          <w:szCs w:val="22"/>
        </w:rPr>
        <w:t xml:space="preserve"> </w:t>
      </w:r>
      <w:r w:rsidR="00467422">
        <w:rPr>
          <w:rFonts w:ascii="Cambria" w:hAnsi="Cambria"/>
          <w:b/>
          <w:sz w:val="22"/>
          <w:szCs w:val="22"/>
        </w:rPr>
        <w:t>1</w:t>
      </w:r>
      <w:r w:rsidRPr="00F31D38">
        <w:rPr>
          <w:rFonts w:ascii="Cambria" w:hAnsi="Cambria"/>
          <w:b/>
          <w:sz w:val="22"/>
          <w:szCs w:val="22"/>
        </w:rPr>
        <w:t xml:space="preserve">. </w:t>
      </w:r>
      <w:r w:rsidR="00D90A62" w:rsidRPr="00F31D38">
        <w:rPr>
          <w:rFonts w:ascii="Cambria" w:hAnsi="Cambria"/>
          <w:b/>
          <w:sz w:val="22"/>
          <w:szCs w:val="22"/>
        </w:rPr>
        <w:t xml:space="preserve">Trend </w:t>
      </w:r>
      <w:proofErr w:type="spellStart"/>
      <w:r w:rsidR="00D90A62" w:rsidRPr="00F31D38">
        <w:rPr>
          <w:rFonts w:ascii="Cambria" w:hAnsi="Cambria"/>
          <w:b/>
          <w:sz w:val="22"/>
          <w:szCs w:val="22"/>
        </w:rPr>
        <w:t>obuhvata</w:t>
      </w:r>
      <w:proofErr w:type="spellEnd"/>
      <w:r w:rsidR="00D90A62" w:rsidRPr="00F31D38">
        <w:rPr>
          <w:rFonts w:ascii="Cambria" w:hAnsi="Cambria"/>
          <w:b/>
          <w:sz w:val="22"/>
          <w:szCs w:val="22"/>
        </w:rPr>
        <w:t xml:space="preserve"> </w:t>
      </w:r>
      <w:proofErr w:type="spellStart"/>
      <w:r w:rsidR="00D90A62" w:rsidRPr="00F31D38">
        <w:rPr>
          <w:rFonts w:ascii="Cambria" w:hAnsi="Cambria"/>
          <w:b/>
          <w:sz w:val="22"/>
          <w:szCs w:val="22"/>
        </w:rPr>
        <w:t>dece</w:t>
      </w:r>
      <w:proofErr w:type="spellEnd"/>
      <w:r w:rsidR="00D90A62" w:rsidRPr="00F31D38">
        <w:rPr>
          <w:rFonts w:ascii="Cambria" w:hAnsi="Cambria"/>
          <w:b/>
          <w:sz w:val="22"/>
          <w:szCs w:val="22"/>
        </w:rPr>
        <w:t xml:space="preserve"> PV</w:t>
      </w:r>
      <w:r w:rsidR="00F31D38" w:rsidRPr="00F31D38">
        <w:rPr>
          <w:rFonts w:ascii="Cambria" w:hAnsi="Cambria"/>
          <w:b/>
          <w:sz w:val="22"/>
          <w:szCs w:val="22"/>
        </w:rPr>
        <w:t>O</w:t>
      </w:r>
      <w:r w:rsidR="00D90A62" w:rsidRPr="00F31D38">
        <w:rPr>
          <w:rFonts w:ascii="Cambria" w:hAnsi="Cambria"/>
          <w:b/>
          <w:sz w:val="22"/>
          <w:szCs w:val="22"/>
        </w:rPr>
        <w:t xml:space="preserve"> (%), 2010-2019</w:t>
      </w:r>
    </w:p>
    <w:p w14:paraId="292F9590" w14:textId="28FC380B" w:rsidR="0073499B" w:rsidRDefault="00133DDF" w:rsidP="00903134">
      <w:pPr>
        <w:jc w:val="both"/>
        <w:rPr>
          <w:rFonts w:asciiTheme="minorHAnsi" w:eastAsiaTheme="minorHAnsi" w:hAnsiTheme="minorHAnsi" w:cstheme="minorBidi"/>
        </w:rPr>
      </w:pPr>
      <w:r>
        <w:rPr>
          <w:noProof/>
        </w:rPr>
        <w:drawing>
          <wp:inline distT="0" distB="0" distL="0" distR="0" wp14:anchorId="5821E337" wp14:editId="2716A6A6">
            <wp:extent cx="4584700" cy="275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84700" cy="2755900"/>
                    </a:xfrm>
                    <a:prstGeom prst="rect">
                      <a:avLst/>
                    </a:prstGeom>
                  </pic:spPr>
                </pic:pic>
              </a:graphicData>
            </a:graphic>
          </wp:inline>
        </w:drawing>
      </w:r>
      <w:r w:rsidR="00467422">
        <w:fldChar w:fldCharType="begin"/>
      </w:r>
      <w:r w:rsidR="00467422">
        <w:instrText xml:space="preserve"> LINK </w:instrText>
      </w:r>
      <w:r w:rsidR="0073499B">
        <w:instrText xml:space="preserve">Excel.Sheet.8 "/Users/katarinastanic/Downloads/Tutin  Obuhvat dece uzrasta 03 godine predškolskim vaspitanjem i obrazovanjem  Procenat.xls" Table!R12C16 </w:instrText>
      </w:r>
      <w:r w:rsidR="00467422">
        <w:instrText xml:space="preserve">\a \f 4 \h </w:instrText>
      </w:r>
      <w:r w:rsidR="00467422">
        <w:fldChar w:fldCharType="separate"/>
      </w:r>
    </w:p>
    <w:p w14:paraId="33F1DE24" w14:textId="77777777" w:rsidR="0073499B" w:rsidRPr="0073499B" w:rsidRDefault="0073499B" w:rsidP="0073499B">
      <w:pPr>
        <w:jc w:val="both"/>
      </w:pPr>
    </w:p>
    <w:p w14:paraId="19CB7E4B" w14:textId="0143CF6B" w:rsidR="00D90A62" w:rsidRPr="00903134" w:rsidRDefault="00467422" w:rsidP="00903134">
      <w:pPr>
        <w:jc w:val="both"/>
      </w:pPr>
      <w:r>
        <w:fldChar w:fldCharType="end"/>
      </w:r>
      <w:proofErr w:type="spellStart"/>
      <w:r w:rsidR="00D90A62" w:rsidRPr="002D6D78">
        <w:rPr>
          <w:rFonts w:asciiTheme="minorHAnsi" w:hAnsiTheme="minorHAnsi"/>
          <w:sz w:val="18"/>
          <w:szCs w:val="18"/>
        </w:rPr>
        <w:t>Izvor</w:t>
      </w:r>
      <w:proofErr w:type="spellEnd"/>
      <w:r w:rsidR="00D90A62" w:rsidRPr="002D6D78">
        <w:rPr>
          <w:rFonts w:asciiTheme="minorHAnsi" w:hAnsiTheme="minorHAnsi"/>
          <w:sz w:val="18"/>
          <w:szCs w:val="18"/>
        </w:rPr>
        <w:t xml:space="preserve">: </w:t>
      </w:r>
      <w:proofErr w:type="spellStart"/>
      <w:r w:rsidR="00D90A62" w:rsidRPr="002D6D78">
        <w:rPr>
          <w:rFonts w:asciiTheme="minorHAnsi" w:hAnsiTheme="minorHAnsi"/>
          <w:sz w:val="18"/>
          <w:szCs w:val="18"/>
        </w:rPr>
        <w:t>Devinfo</w:t>
      </w:r>
      <w:proofErr w:type="spellEnd"/>
      <w:r w:rsidR="00D90A62" w:rsidRPr="002D6D78">
        <w:rPr>
          <w:rFonts w:asciiTheme="minorHAnsi" w:hAnsiTheme="minorHAnsi"/>
          <w:sz w:val="18"/>
          <w:szCs w:val="18"/>
        </w:rPr>
        <w:t xml:space="preserve"> </w:t>
      </w:r>
      <w:proofErr w:type="spellStart"/>
      <w:r w:rsidR="00D90A62" w:rsidRPr="002D6D78">
        <w:rPr>
          <w:rFonts w:asciiTheme="minorHAnsi" w:hAnsiTheme="minorHAnsi"/>
          <w:sz w:val="18"/>
          <w:szCs w:val="18"/>
        </w:rPr>
        <w:t>baza</w:t>
      </w:r>
      <w:proofErr w:type="spellEnd"/>
      <w:r w:rsidR="00D90A62" w:rsidRPr="002D6D78">
        <w:rPr>
          <w:rFonts w:asciiTheme="minorHAnsi" w:hAnsiTheme="minorHAnsi"/>
          <w:sz w:val="18"/>
          <w:szCs w:val="18"/>
        </w:rPr>
        <w:t xml:space="preserve"> </w:t>
      </w:r>
    </w:p>
    <w:p w14:paraId="6686C7B8" w14:textId="69521830" w:rsidR="00B3089C" w:rsidRDefault="00B3089C" w:rsidP="00DB5D24">
      <w:pPr>
        <w:jc w:val="both"/>
        <w:rPr>
          <w:b/>
          <w:i/>
          <w:sz w:val="22"/>
          <w:szCs w:val="22"/>
        </w:rPr>
      </w:pPr>
    </w:p>
    <w:p w14:paraId="79E8AD1B" w14:textId="77777777" w:rsidR="00F07BB2" w:rsidRPr="00B3089C" w:rsidRDefault="00F07BB2" w:rsidP="00F07BB2">
      <w:pPr>
        <w:rPr>
          <w:rFonts w:asciiTheme="minorHAnsi" w:hAnsiTheme="minorHAnsi"/>
          <w:sz w:val="20"/>
          <w:szCs w:val="20"/>
        </w:rPr>
      </w:pPr>
    </w:p>
    <w:p w14:paraId="6E45EF20" w14:textId="0B6452F1" w:rsidR="00F07BB2" w:rsidRPr="00B3089C" w:rsidRDefault="00DD5E72" w:rsidP="00F07BB2">
      <w:pPr>
        <w:pStyle w:val="FootnoteText"/>
        <w:pBdr>
          <w:top w:val="single" w:sz="4" w:space="1" w:color="auto"/>
          <w:left w:val="single" w:sz="4" w:space="4" w:color="auto"/>
          <w:bottom w:val="single" w:sz="4" w:space="1" w:color="auto"/>
          <w:right w:val="single" w:sz="4" w:space="4" w:color="auto"/>
        </w:pBdr>
        <w:spacing w:after="120"/>
        <w:jc w:val="both"/>
        <w:rPr>
          <w:sz w:val="20"/>
          <w:szCs w:val="20"/>
        </w:rPr>
      </w:pPr>
      <w:proofErr w:type="spellStart"/>
      <w:r>
        <w:rPr>
          <w:b/>
          <w:sz w:val="20"/>
          <w:szCs w:val="20"/>
        </w:rPr>
        <w:t>Okvir</w:t>
      </w:r>
      <w:proofErr w:type="spellEnd"/>
      <w:r w:rsidR="00F07BB2" w:rsidRPr="00B3089C">
        <w:rPr>
          <w:b/>
          <w:sz w:val="20"/>
          <w:szCs w:val="20"/>
        </w:rPr>
        <w:t xml:space="preserve"> 2</w:t>
      </w:r>
      <w:r w:rsidR="00F07BB2" w:rsidRPr="00B3089C">
        <w:rPr>
          <w:sz w:val="20"/>
          <w:szCs w:val="20"/>
        </w:rPr>
        <w:t xml:space="preserve">.  </w:t>
      </w:r>
      <w:proofErr w:type="spellStart"/>
      <w:r w:rsidR="00F07BB2" w:rsidRPr="00B3089C">
        <w:rPr>
          <w:rFonts w:cs="Times New Roman (Body CS)"/>
          <w:b/>
          <w:smallCaps/>
          <w:sz w:val="20"/>
          <w:szCs w:val="20"/>
        </w:rPr>
        <w:t>Metodološki</w:t>
      </w:r>
      <w:proofErr w:type="spellEnd"/>
      <w:r w:rsidR="00F07BB2" w:rsidRPr="00B3089C">
        <w:rPr>
          <w:rFonts w:cs="Times New Roman (Body CS)"/>
          <w:b/>
          <w:smallCaps/>
          <w:sz w:val="20"/>
          <w:szCs w:val="20"/>
        </w:rPr>
        <w:t xml:space="preserve"> </w:t>
      </w:r>
      <w:proofErr w:type="spellStart"/>
      <w:r w:rsidR="00F07BB2" w:rsidRPr="00B3089C">
        <w:rPr>
          <w:rFonts w:cs="Times New Roman (Body CS)"/>
          <w:b/>
          <w:smallCaps/>
          <w:sz w:val="20"/>
          <w:szCs w:val="20"/>
        </w:rPr>
        <w:t>nedostaci</w:t>
      </w:r>
      <w:proofErr w:type="spellEnd"/>
      <w:r w:rsidR="00F07BB2" w:rsidRPr="00B3089C">
        <w:rPr>
          <w:rFonts w:cs="Times New Roman (Body CS)"/>
          <w:b/>
          <w:smallCaps/>
          <w:sz w:val="20"/>
          <w:szCs w:val="20"/>
        </w:rPr>
        <w:t xml:space="preserve"> </w:t>
      </w:r>
      <w:proofErr w:type="spellStart"/>
      <w:r w:rsidR="00F07BB2" w:rsidRPr="00B3089C">
        <w:rPr>
          <w:rFonts w:cs="Times New Roman (Body CS)"/>
          <w:b/>
          <w:smallCaps/>
          <w:sz w:val="20"/>
          <w:szCs w:val="20"/>
        </w:rPr>
        <w:t>praćenja</w:t>
      </w:r>
      <w:proofErr w:type="spellEnd"/>
      <w:r w:rsidR="00F07BB2" w:rsidRPr="00B3089C">
        <w:rPr>
          <w:rFonts w:cs="Times New Roman (Body CS)"/>
          <w:b/>
          <w:smallCaps/>
          <w:sz w:val="20"/>
          <w:szCs w:val="20"/>
        </w:rPr>
        <w:t xml:space="preserve"> </w:t>
      </w:r>
      <w:proofErr w:type="spellStart"/>
      <w:r w:rsidR="00F07BB2" w:rsidRPr="00B3089C">
        <w:rPr>
          <w:rFonts w:cs="Times New Roman (Body CS)"/>
          <w:b/>
          <w:smallCaps/>
          <w:sz w:val="20"/>
          <w:szCs w:val="20"/>
        </w:rPr>
        <w:t>obuhvata</w:t>
      </w:r>
      <w:proofErr w:type="spellEnd"/>
      <w:r w:rsidR="00F07BB2" w:rsidRPr="00B3089C">
        <w:rPr>
          <w:rFonts w:cs="Times New Roman (Body CS)"/>
          <w:b/>
          <w:smallCaps/>
          <w:sz w:val="20"/>
          <w:szCs w:val="20"/>
        </w:rPr>
        <w:t xml:space="preserve"> </w:t>
      </w:r>
      <w:proofErr w:type="spellStart"/>
      <w:r w:rsidR="00F07BB2" w:rsidRPr="00B3089C">
        <w:rPr>
          <w:rFonts w:cs="Times New Roman (Body CS)"/>
          <w:b/>
          <w:smallCaps/>
          <w:sz w:val="20"/>
          <w:szCs w:val="20"/>
        </w:rPr>
        <w:t>na</w:t>
      </w:r>
      <w:proofErr w:type="spellEnd"/>
      <w:r w:rsidR="00F07BB2" w:rsidRPr="00B3089C">
        <w:rPr>
          <w:rFonts w:cs="Times New Roman (Body CS)"/>
          <w:b/>
          <w:smallCaps/>
          <w:sz w:val="20"/>
          <w:szCs w:val="20"/>
        </w:rPr>
        <w:t xml:space="preserve"> </w:t>
      </w:r>
      <w:proofErr w:type="spellStart"/>
      <w:r w:rsidR="00F07BB2" w:rsidRPr="00B3089C">
        <w:rPr>
          <w:rFonts w:cs="Times New Roman (Body CS)"/>
          <w:b/>
          <w:smallCaps/>
          <w:sz w:val="20"/>
          <w:szCs w:val="20"/>
        </w:rPr>
        <w:t>niv</w:t>
      </w:r>
      <w:r w:rsidR="00F07BB2">
        <w:rPr>
          <w:rFonts w:cs="Times New Roman (Body CS)"/>
          <w:b/>
          <w:smallCaps/>
          <w:sz w:val="20"/>
          <w:szCs w:val="20"/>
        </w:rPr>
        <w:t>o</w:t>
      </w:r>
      <w:r w:rsidR="00F07BB2" w:rsidRPr="00B3089C">
        <w:rPr>
          <w:rFonts w:cs="Times New Roman (Body CS)"/>
          <w:b/>
          <w:smallCaps/>
          <w:sz w:val="20"/>
          <w:szCs w:val="20"/>
        </w:rPr>
        <w:t>u</w:t>
      </w:r>
      <w:proofErr w:type="spellEnd"/>
      <w:r w:rsidR="00F07BB2" w:rsidRPr="00B3089C">
        <w:rPr>
          <w:rFonts w:cs="Times New Roman (Body CS)"/>
          <w:b/>
          <w:smallCaps/>
          <w:sz w:val="20"/>
          <w:szCs w:val="20"/>
        </w:rPr>
        <w:t xml:space="preserve"> </w:t>
      </w:r>
      <w:proofErr w:type="spellStart"/>
      <w:r w:rsidR="00F07BB2" w:rsidRPr="00B3089C">
        <w:rPr>
          <w:rFonts w:cs="Times New Roman (Body CS)"/>
          <w:b/>
          <w:smallCaps/>
          <w:sz w:val="20"/>
          <w:szCs w:val="20"/>
        </w:rPr>
        <w:t>lokalnih</w:t>
      </w:r>
      <w:proofErr w:type="spellEnd"/>
      <w:r w:rsidR="00F07BB2" w:rsidRPr="00B3089C">
        <w:rPr>
          <w:rFonts w:cs="Times New Roman (Body CS)"/>
          <w:b/>
          <w:smallCaps/>
          <w:sz w:val="20"/>
          <w:szCs w:val="20"/>
        </w:rPr>
        <w:t xml:space="preserve"> </w:t>
      </w:r>
      <w:proofErr w:type="spellStart"/>
      <w:r w:rsidR="00F07BB2" w:rsidRPr="00B3089C">
        <w:rPr>
          <w:rFonts w:cs="Times New Roman (Body CS)"/>
          <w:b/>
          <w:smallCaps/>
          <w:sz w:val="20"/>
          <w:szCs w:val="20"/>
        </w:rPr>
        <w:t>samourapva</w:t>
      </w:r>
      <w:proofErr w:type="spellEnd"/>
    </w:p>
    <w:p w14:paraId="0BF38475" w14:textId="77777777" w:rsidR="00F07BB2" w:rsidRPr="003130B7" w:rsidRDefault="00F07BB2" w:rsidP="00F07BB2">
      <w:pPr>
        <w:pStyle w:val="FootnoteText"/>
        <w:pBdr>
          <w:top w:val="single" w:sz="4" w:space="1" w:color="auto"/>
          <w:left w:val="single" w:sz="4" w:space="4" w:color="auto"/>
          <w:bottom w:val="single" w:sz="4" w:space="1" w:color="auto"/>
          <w:right w:val="single" w:sz="4" w:space="4" w:color="auto"/>
        </w:pBdr>
        <w:spacing w:after="60"/>
        <w:jc w:val="both"/>
        <w:rPr>
          <w:sz w:val="19"/>
          <w:szCs w:val="19"/>
        </w:rPr>
      </w:pPr>
      <w:proofErr w:type="spellStart"/>
      <w:r w:rsidRPr="003130B7">
        <w:rPr>
          <w:sz w:val="19"/>
          <w:szCs w:val="19"/>
        </w:rPr>
        <w:t>Podatake</w:t>
      </w:r>
      <w:proofErr w:type="spellEnd"/>
      <w:r w:rsidRPr="003130B7">
        <w:rPr>
          <w:sz w:val="19"/>
          <w:szCs w:val="19"/>
        </w:rPr>
        <w:t xml:space="preserve"> o </w:t>
      </w:r>
      <w:proofErr w:type="spellStart"/>
      <w:r w:rsidRPr="003130B7">
        <w:rPr>
          <w:sz w:val="19"/>
          <w:szCs w:val="19"/>
        </w:rPr>
        <w:t>obuhvatu</w:t>
      </w:r>
      <w:proofErr w:type="spellEnd"/>
      <w:r w:rsidRPr="003130B7">
        <w:rPr>
          <w:sz w:val="19"/>
          <w:szCs w:val="19"/>
        </w:rPr>
        <w:t xml:space="preserve"> </w:t>
      </w:r>
      <w:proofErr w:type="spellStart"/>
      <w:r w:rsidRPr="003130B7">
        <w:rPr>
          <w:sz w:val="19"/>
          <w:szCs w:val="19"/>
        </w:rPr>
        <w:t>na</w:t>
      </w:r>
      <w:proofErr w:type="spellEnd"/>
      <w:r w:rsidRPr="003130B7">
        <w:rPr>
          <w:sz w:val="19"/>
          <w:szCs w:val="19"/>
        </w:rPr>
        <w:t xml:space="preserve"> </w:t>
      </w:r>
      <w:proofErr w:type="spellStart"/>
      <w:r w:rsidRPr="003130B7">
        <w:rPr>
          <w:sz w:val="19"/>
          <w:szCs w:val="19"/>
        </w:rPr>
        <w:t>lokalnom</w:t>
      </w:r>
      <w:proofErr w:type="spellEnd"/>
      <w:r w:rsidRPr="003130B7">
        <w:rPr>
          <w:sz w:val="19"/>
          <w:szCs w:val="19"/>
        </w:rPr>
        <w:t xml:space="preserve"> </w:t>
      </w:r>
      <w:proofErr w:type="spellStart"/>
      <w:r w:rsidRPr="003130B7">
        <w:rPr>
          <w:sz w:val="19"/>
          <w:szCs w:val="19"/>
        </w:rPr>
        <w:t>nivou</w:t>
      </w:r>
      <w:proofErr w:type="spellEnd"/>
      <w:r w:rsidRPr="003130B7">
        <w:rPr>
          <w:sz w:val="19"/>
          <w:szCs w:val="19"/>
        </w:rPr>
        <w:t xml:space="preserve"> </w:t>
      </w:r>
      <w:proofErr w:type="spellStart"/>
      <w:r w:rsidRPr="003130B7">
        <w:rPr>
          <w:sz w:val="19"/>
          <w:szCs w:val="19"/>
        </w:rPr>
        <w:t>treba</w:t>
      </w:r>
      <w:proofErr w:type="spellEnd"/>
      <w:r w:rsidRPr="003130B7">
        <w:rPr>
          <w:sz w:val="19"/>
          <w:szCs w:val="19"/>
        </w:rPr>
        <w:t xml:space="preserve"> </w:t>
      </w:r>
      <w:proofErr w:type="spellStart"/>
      <w:r w:rsidRPr="003130B7">
        <w:rPr>
          <w:sz w:val="19"/>
          <w:szCs w:val="19"/>
        </w:rPr>
        <w:t>uzeti</w:t>
      </w:r>
      <w:proofErr w:type="spellEnd"/>
      <w:r w:rsidRPr="003130B7">
        <w:rPr>
          <w:sz w:val="19"/>
          <w:szCs w:val="19"/>
        </w:rPr>
        <w:t xml:space="preserve"> </w:t>
      </w:r>
      <w:proofErr w:type="spellStart"/>
      <w:r w:rsidRPr="003130B7">
        <w:rPr>
          <w:sz w:val="19"/>
          <w:szCs w:val="19"/>
        </w:rPr>
        <w:t>sa</w:t>
      </w:r>
      <w:proofErr w:type="spellEnd"/>
      <w:r w:rsidRPr="003130B7">
        <w:rPr>
          <w:sz w:val="19"/>
          <w:szCs w:val="19"/>
        </w:rPr>
        <w:t xml:space="preserve"> </w:t>
      </w:r>
      <w:proofErr w:type="spellStart"/>
      <w:r w:rsidRPr="003130B7">
        <w:rPr>
          <w:sz w:val="19"/>
          <w:szCs w:val="19"/>
        </w:rPr>
        <w:t>rezervom</w:t>
      </w:r>
      <w:proofErr w:type="spellEnd"/>
      <w:r w:rsidRPr="003130B7">
        <w:rPr>
          <w:sz w:val="19"/>
          <w:szCs w:val="19"/>
        </w:rPr>
        <w:t xml:space="preserve"> </w:t>
      </w:r>
      <w:proofErr w:type="spellStart"/>
      <w:r w:rsidRPr="003130B7">
        <w:rPr>
          <w:sz w:val="19"/>
          <w:szCs w:val="19"/>
        </w:rPr>
        <w:t>na</w:t>
      </w:r>
      <w:proofErr w:type="spellEnd"/>
      <w:r w:rsidRPr="003130B7">
        <w:rPr>
          <w:sz w:val="19"/>
          <w:szCs w:val="19"/>
        </w:rPr>
        <w:t xml:space="preserve"> </w:t>
      </w:r>
      <w:proofErr w:type="spellStart"/>
      <w:r w:rsidRPr="003130B7">
        <w:rPr>
          <w:sz w:val="19"/>
          <w:szCs w:val="19"/>
        </w:rPr>
        <w:t>šta</w:t>
      </w:r>
      <w:proofErr w:type="spellEnd"/>
      <w:r w:rsidRPr="003130B7">
        <w:rPr>
          <w:sz w:val="19"/>
          <w:szCs w:val="19"/>
        </w:rPr>
        <w:t xml:space="preserve"> </w:t>
      </w:r>
      <w:proofErr w:type="spellStart"/>
      <w:r w:rsidRPr="003130B7">
        <w:rPr>
          <w:sz w:val="19"/>
          <w:szCs w:val="19"/>
        </w:rPr>
        <w:t>i</w:t>
      </w:r>
      <w:proofErr w:type="spellEnd"/>
      <w:r w:rsidRPr="003130B7">
        <w:rPr>
          <w:sz w:val="19"/>
          <w:szCs w:val="19"/>
        </w:rPr>
        <w:t xml:space="preserve"> </w:t>
      </w:r>
      <w:proofErr w:type="spellStart"/>
      <w:r w:rsidRPr="003130B7">
        <w:rPr>
          <w:sz w:val="19"/>
          <w:szCs w:val="19"/>
        </w:rPr>
        <w:t>ukazuje</w:t>
      </w:r>
      <w:proofErr w:type="spellEnd"/>
      <w:r w:rsidRPr="003130B7">
        <w:rPr>
          <w:sz w:val="19"/>
          <w:szCs w:val="19"/>
        </w:rPr>
        <w:t xml:space="preserve"> </w:t>
      </w:r>
      <w:proofErr w:type="spellStart"/>
      <w:r w:rsidRPr="003130B7">
        <w:rPr>
          <w:sz w:val="19"/>
          <w:szCs w:val="19"/>
        </w:rPr>
        <w:t>obuhvat</w:t>
      </w:r>
      <w:proofErr w:type="spellEnd"/>
      <w:r w:rsidRPr="003130B7">
        <w:rPr>
          <w:sz w:val="19"/>
          <w:szCs w:val="19"/>
        </w:rPr>
        <w:t xml:space="preserve"> koji je </w:t>
      </w:r>
      <w:proofErr w:type="spellStart"/>
      <w:r w:rsidRPr="003130B7">
        <w:rPr>
          <w:sz w:val="19"/>
          <w:szCs w:val="19"/>
        </w:rPr>
        <w:t>viši</w:t>
      </w:r>
      <w:proofErr w:type="spellEnd"/>
      <w:r w:rsidRPr="003130B7">
        <w:rPr>
          <w:sz w:val="19"/>
          <w:szCs w:val="19"/>
        </w:rPr>
        <w:t xml:space="preserve"> od 100%. </w:t>
      </w:r>
      <w:proofErr w:type="spellStart"/>
      <w:r w:rsidRPr="003130B7">
        <w:rPr>
          <w:sz w:val="19"/>
          <w:szCs w:val="19"/>
        </w:rPr>
        <w:t>Razlozi</w:t>
      </w:r>
      <w:proofErr w:type="spellEnd"/>
      <w:r w:rsidRPr="003130B7">
        <w:rPr>
          <w:sz w:val="19"/>
          <w:szCs w:val="19"/>
        </w:rPr>
        <w:t xml:space="preserve"> </w:t>
      </w:r>
      <w:proofErr w:type="spellStart"/>
      <w:r w:rsidRPr="003130B7">
        <w:rPr>
          <w:sz w:val="19"/>
          <w:szCs w:val="19"/>
        </w:rPr>
        <w:t>mogu</w:t>
      </w:r>
      <w:proofErr w:type="spellEnd"/>
      <w:r w:rsidRPr="003130B7">
        <w:rPr>
          <w:sz w:val="19"/>
          <w:szCs w:val="19"/>
        </w:rPr>
        <w:t xml:space="preserve"> </w:t>
      </w:r>
      <w:proofErr w:type="spellStart"/>
      <w:r w:rsidRPr="003130B7">
        <w:rPr>
          <w:sz w:val="19"/>
          <w:szCs w:val="19"/>
        </w:rPr>
        <w:t>biti</w:t>
      </w:r>
      <w:proofErr w:type="spellEnd"/>
      <w:r w:rsidRPr="003130B7">
        <w:rPr>
          <w:sz w:val="19"/>
          <w:szCs w:val="19"/>
        </w:rPr>
        <w:t xml:space="preserve"> </w:t>
      </w:r>
      <w:proofErr w:type="spellStart"/>
      <w:r w:rsidRPr="003130B7">
        <w:rPr>
          <w:sz w:val="19"/>
          <w:szCs w:val="19"/>
        </w:rPr>
        <w:t>sledeći</w:t>
      </w:r>
      <w:proofErr w:type="spellEnd"/>
      <w:r w:rsidRPr="003130B7">
        <w:rPr>
          <w:sz w:val="19"/>
          <w:szCs w:val="19"/>
        </w:rPr>
        <w:t xml:space="preserve">: a) </w:t>
      </w:r>
      <w:proofErr w:type="spellStart"/>
      <w:r w:rsidRPr="003130B7">
        <w:rPr>
          <w:sz w:val="19"/>
          <w:szCs w:val="19"/>
        </w:rPr>
        <w:t>kada</w:t>
      </w:r>
      <w:proofErr w:type="spellEnd"/>
      <w:r w:rsidRPr="003130B7">
        <w:rPr>
          <w:sz w:val="19"/>
          <w:szCs w:val="19"/>
        </w:rPr>
        <w:t xml:space="preserve"> se </w:t>
      </w:r>
      <w:proofErr w:type="spellStart"/>
      <w:r w:rsidRPr="003130B7">
        <w:rPr>
          <w:sz w:val="19"/>
          <w:szCs w:val="19"/>
        </w:rPr>
        <w:t>posmatra</w:t>
      </w:r>
      <w:proofErr w:type="spellEnd"/>
      <w:r w:rsidRPr="003130B7">
        <w:rPr>
          <w:sz w:val="19"/>
          <w:szCs w:val="19"/>
        </w:rPr>
        <w:t xml:space="preserve"> </w:t>
      </w:r>
      <w:proofErr w:type="spellStart"/>
      <w:r w:rsidRPr="003130B7">
        <w:rPr>
          <w:sz w:val="19"/>
          <w:szCs w:val="19"/>
        </w:rPr>
        <w:t>obuhvat</w:t>
      </w:r>
      <w:proofErr w:type="spellEnd"/>
      <w:r w:rsidRPr="003130B7">
        <w:rPr>
          <w:sz w:val="19"/>
          <w:szCs w:val="19"/>
        </w:rPr>
        <w:t xml:space="preserve"> </w:t>
      </w:r>
      <w:proofErr w:type="spellStart"/>
      <w:r w:rsidRPr="003130B7">
        <w:rPr>
          <w:sz w:val="19"/>
          <w:szCs w:val="19"/>
        </w:rPr>
        <w:t>broj</w:t>
      </w:r>
      <w:proofErr w:type="spellEnd"/>
      <w:r w:rsidRPr="003130B7">
        <w:rPr>
          <w:sz w:val="19"/>
          <w:szCs w:val="19"/>
        </w:rPr>
        <w:t xml:space="preserve"> </w:t>
      </w:r>
      <w:proofErr w:type="spellStart"/>
      <w:r w:rsidRPr="003130B7">
        <w:rPr>
          <w:sz w:val="19"/>
          <w:szCs w:val="19"/>
        </w:rPr>
        <w:t>dece</w:t>
      </w:r>
      <w:proofErr w:type="spellEnd"/>
      <w:r w:rsidRPr="003130B7">
        <w:rPr>
          <w:sz w:val="19"/>
          <w:szCs w:val="19"/>
        </w:rPr>
        <w:t xml:space="preserve"> u PPP se </w:t>
      </w:r>
      <w:proofErr w:type="spellStart"/>
      <w:r w:rsidRPr="003130B7">
        <w:rPr>
          <w:sz w:val="19"/>
          <w:szCs w:val="19"/>
        </w:rPr>
        <w:t>uzima</w:t>
      </w:r>
      <w:proofErr w:type="spellEnd"/>
      <w:r w:rsidRPr="003130B7">
        <w:rPr>
          <w:sz w:val="19"/>
          <w:szCs w:val="19"/>
        </w:rPr>
        <w:t xml:space="preserve"> u </w:t>
      </w:r>
      <w:proofErr w:type="spellStart"/>
      <w:r w:rsidRPr="003130B7">
        <w:rPr>
          <w:sz w:val="19"/>
          <w:szCs w:val="19"/>
        </w:rPr>
        <w:t>celini</w:t>
      </w:r>
      <w:proofErr w:type="spellEnd"/>
      <w:r w:rsidRPr="003130B7">
        <w:rPr>
          <w:sz w:val="19"/>
          <w:szCs w:val="19"/>
        </w:rPr>
        <w:t xml:space="preserve"> bez </w:t>
      </w:r>
      <w:proofErr w:type="spellStart"/>
      <w:r w:rsidRPr="003130B7">
        <w:rPr>
          <w:sz w:val="19"/>
          <w:szCs w:val="19"/>
        </w:rPr>
        <w:t>obzira</w:t>
      </w:r>
      <w:proofErr w:type="spellEnd"/>
      <w:r w:rsidRPr="003130B7">
        <w:rPr>
          <w:sz w:val="19"/>
          <w:szCs w:val="19"/>
        </w:rPr>
        <w:t xml:space="preserve"> </w:t>
      </w:r>
      <w:proofErr w:type="spellStart"/>
      <w:r w:rsidRPr="003130B7">
        <w:rPr>
          <w:sz w:val="19"/>
          <w:szCs w:val="19"/>
        </w:rPr>
        <w:t>na</w:t>
      </w:r>
      <w:proofErr w:type="spellEnd"/>
      <w:r w:rsidRPr="003130B7">
        <w:rPr>
          <w:sz w:val="19"/>
          <w:szCs w:val="19"/>
        </w:rPr>
        <w:t xml:space="preserve"> </w:t>
      </w:r>
      <w:proofErr w:type="spellStart"/>
      <w:r w:rsidRPr="003130B7">
        <w:rPr>
          <w:sz w:val="19"/>
          <w:szCs w:val="19"/>
        </w:rPr>
        <w:t>uzrast</w:t>
      </w:r>
      <w:proofErr w:type="spellEnd"/>
      <w:r w:rsidRPr="003130B7">
        <w:rPr>
          <w:sz w:val="19"/>
          <w:szCs w:val="19"/>
        </w:rPr>
        <w:t xml:space="preserve"> (</w:t>
      </w:r>
      <w:proofErr w:type="spellStart"/>
      <w:r w:rsidRPr="003130B7">
        <w:rPr>
          <w:sz w:val="19"/>
          <w:szCs w:val="19"/>
        </w:rPr>
        <w:t>sto</w:t>
      </w:r>
      <w:proofErr w:type="spellEnd"/>
      <w:r w:rsidRPr="003130B7">
        <w:rPr>
          <w:sz w:val="19"/>
          <w:szCs w:val="19"/>
        </w:rPr>
        <w:t xml:space="preserve"> </w:t>
      </w:r>
      <w:proofErr w:type="spellStart"/>
      <w:r w:rsidRPr="003130B7">
        <w:rPr>
          <w:sz w:val="19"/>
          <w:szCs w:val="19"/>
        </w:rPr>
        <w:t>znači</w:t>
      </w:r>
      <w:proofErr w:type="spellEnd"/>
      <w:r w:rsidRPr="003130B7">
        <w:rPr>
          <w:sz w:val="19"/>
          <w:szCs w:val="19"/>
        </w:rPr>
        <w:t xml:space="preserve"> da se </w:t>
      </w:r>
      <w:proofErr w:type="spellStart"/>
      <w:r w:rsidRPr="003130B7">
        <w:rPr>
          <w:sz w:val="19"/>
          <w:szCs w:val="19"/>
        </w:rPr>
        <w:t>tu</w:t>
      </w:r>
      <w:proofErr w:type="spellEnd"/>
      <w:r w:rsidRPr="003130B7">
        <w:rPr>
          <w:sz w:val="19"/>
          <w:szCs w:val="19"/>
        </w:rPr>
        <w:t xml:space="preserve"> </w:t>
      </w:r>
      <w:proofErr w:type="spellStart"/>
      <w:r w:rsidRPr="003130B7">
        <w:rPr>
          <w:sz w:val="19"/>
          <w:szCs w:val="19"/>
        </w:rPr>
        <w:t>mogu</w:t>
      </w:r>
      <w:proofErr w:type="spellEnd"/>
      <w:r w:rsidRPr="003130B7">
        <w:rPr>
          <w:sz w:val="19"/>
          <w:szCs w:val="19"/>
        </w:rPr>
        <w:t xml:space="preserve"> </w:t>
      </w:r>
      <w:proofErr w:type="spellStart"/>
      <w:r w:rsidRPr="003130B7">
        <w:rPr>
          <w:sz w:val="19"/>
          <w:szCs w:val="19"/>
        </w:rPr>
        <w:t>naći</w:t>
      </w:r>
      <w:proofErr w:type="spellEnd"/>
      <w:r w:rsidRPr="003130B7">
        <w:rPr>
          <w:sz w:val="19"/>
          <w:szCs w:val="19"/>
        </w:rPr>
        <w:t xml:space="preserve"> </w:t>
      </w:r>
      <w:proofErr w:type="spellStart"/>
      <w:r w:rsidRPr="003130B7">
        <w:rPr>
          <w:sz w:val="19"/>
          <w:szCs w:val="19"/>
        </w:rPr>
        <w:t>i</w:t>
      </w:r>
      <w:proofErr w:type="spellEnd"/>
      <w:r w:rsidRPr="003130B7">
        <w:rPr>
          <w:sz w:val="19"/>
          <w:szCs w:val="19"/>
        </w:rPr>
        <w:t xml:space="preserve"> </w:t>
      </w:r>
      <w:proofErr w:type="spellStart"/>
      <w:r w:rsidRPr="003130B7">
        <w:rPr>
          <w:sz w:val="19"/>
          <w:szCs w:val="19"/>
        </w:rPr>
        <w:t>deca</w:t>
      </w:r>
      <w:proofErr w:type="spellEnd"/>
      <w:r w:rsidRPr="003130B7">
        <w:rPr>
          <w:sz w:val="19"/>
          <w:szCs w:val="19"/>
        </w:rPr>
        <w:t xml:space="preserve"> </w:t>
      </w:r>
      <w:proofErr w:type="spellStart"/>
      <w:r w:rsidRPr="003130B7">
        <w:rPr>
          <w:sz w:val="19"/>
          <w:szCs w:val="19"/>
        </w:rPr>
        <w:t>koja</w:t>
      </w:r>
      <w:proofErr w:type="spellEnd"/>
      <w:r w:rsidRPr="003130B7">
        <w:rPr>
          <w:sz w:val="19"/>
          <w:szCs w:val="19"/>
        </w:rPr>
        <w:t xml:space="preserve"> </w:t>
      </w:r>
      <w:proofErr w:type="spellStart"/>
      <w:r w:rsidRPr="003130B7">
        <w:rPr>
          <w:sz w:val="19"/>
          <w:szCs w:val="19"/>
        </w:rPr>
        <w:t>krenula</w:t>
      </w:r>
      <w:proofErr w:type="spellEnd"/>
      <w:r w:rsidRPr="003130B7">
        <w:rPr>
          <w:sz w:val="19"/>
          <w:szCs w:val="19"/>
        </w:rPr>
        <w:t xml:space="preserve"> </w:t>
      </w:r>
      <w:proofErr w:type="spellStart"/>
      <w:r w:rsidRPr="003130B7">
        <w:rPr>
          <w:sz w:val="19"/>
          <w:szCs w:val="19"/>
        </w:rPr>
        <w:t>ranije</w:t>
      </w:r>
      <w:proofErr w:type="spellEnd"/>
      <w:r w:rsidRPr="003130B7">
        <w:rPr>
          <w:sz w:val="19"/>
          <w:szCs w:val="19"/>
        </w:rPr>
        <w:t>/</w:t>
      </w:r>
      <w:proofErr w:type="spellStart"/>
      <w:r w:rsidRPr="003130B7">
        <w:rPr>
          <w:sz w:val="19"/>
          <w:szCs w:val="19"/>
        </w:rPr>
        <w:t>kasnije</w:t>
      </w:r>
      <w:proofErr w:type="spellEnd"/>
      <w:r w:rsidRPr="003130B7">
        <w:rPr>
          <w:sz w:val="19"/>
          <w:szCs w:val="19"/>
        </w:rPr>
        <w:t xml:space="preserve"> u PPP u </w:t>
      </w:r>
      <w:proofErr w:type="spellStart"/>
      <w:r w:rsidRPr="003130B7">
        <w:rPr>
          <w:sz w:val="19"/>
          <w:szCs w:val="19"/>
        </w:rPr>
        <w:t>odnosu</w:t>
      </w:r>
      <w:proofErr w:type="spellEnd"/>
      <w:r w:rsidRPr="003130B7">
        <w:rPr>
          <w:sz w:val="19"/>
          <w:szCs w:val="19"/>
        </w:rPr>
        <w:t xml:space="preserve"> </w:t>
      </w:r>
      <w:proofErr w:type="spellStart"/>
      <w:r w:rsidRPr="003130B7">
        <w:rPr>
          <w:sz w:val="19"/>
          <w:szCs w:val="19"/>
        </w:rPr>
        <w:t>zakonski</w:t>
      </w:r>
      <w:proofErr w:type="spellEnd"/>
      <w:r w:rsidRPr="003130B7">
        <w:rPr>
          <w:sz w:val="19"/>
          <w:szCs w:val="19"/>
        </w:rPr>
        <w:t xml:space="preserve"> </w:t>
      </w:r>
      <w:proofErr w:type="spellStart"/>
      <w:r w:rsidRPr="003130B7">
        <w:rPr>
          <w:sz w:val="19"/>
          <w:szCs w:val="19"/>
        </w:rPr>
        <w:t>određenu</w:t>
      </w:r>
      <w:proofErr w:type="spellEnd"/>
      <w:r w:rsidRPr="003130B7">
        <w:rPr>
          <w:sz w:val="19"/>
          <w:szCs w:val="19"/>
        </w:rPr>
        <w:t xml:space="preserve"> </w:t>
      </w:r>
      <w:proofErr w:type="spellStart"/>
      <w:r w:rsidRPr="003130B7">
        <w:rPr>
          <w:sz w:val="19"/>
          <w:szCs w:val="19"/>
        </w:rPr>
        <w:t>generaciju</w:t>
      </w:r>
      <w:proofErr w:type="spellEnd"/>
      <w:r w:rsidRPr="003130B7">
        <w:rPr>
          <w:sz w:val="19"/>
          <w:szCs w:val="19"/>
        </w:rPr>
        <w:t xml:space="preserve">; b) </w:t>
      </w:r>
      <w:proofErr w:type="spellStart"/>
      <w:r w:rsidRPr="003130B7">
        <w:rPr>
          <w:sz w:val="19"/>
          <w:szCs w:val="19"/>
        </w:rPr>
        <w:t>školska</w:t>
      </w:r>
      <w:proofErr w:type="spellEnd"/>
      <w:r w:rsidRPr="003130B7">
        <w:rPr>
          <w:sz w:val="19"/>
          <w:szCs w:val="19"/>
        </w:rPr>
        <w:t xml:space="preserve"> </w:t>
      </w:r>
      <w:proofErr w:type="spellStart"/>
      <w:r w:rsidRPr="003130B7">
        <w:rPr>
          <w:sz w:val="19"/>
          <w:szCs w:val="19"/>
        </w:rPr>
        <w:t>generacija</w:t>
      </w:r>
      <w:proofErr w:type="spellEnd"/>
      <w:r w:rsidRPr="003130B7">
        <w:rPr>
          <w:sz w:val="19"/>
          <w:szCs w:val="19"/>
        </w:rPr>
        <w:t xml:space="preserve"> se </w:t>
      </w:r>
      <w:proofErr w:type="spellStart"/>
      <w:r w:rsidRPr="003130B7">
        <w:rPr>
          <w:sz w:val="19"/>
          <w:szCs w:val="19"/>
        </w:rPr>
        <w:t>određuje</w:t>
      </w:r>
      <w:proofErr w:type="spellEnd"/>
      <w:r w:rsidRPr="003130B7">
        <w:rPr>
          <w:sz w:val="19"/>
          <w:szCs w:val="19"/>
        </w:rPr>
        <w:t xml:space="preserve"> od 1. </w:t>
      </w:r>
      <w:proofErr w:type="spellStart"/>
      <w:r w:rsidRPr="003130B7">
        <w:rPr>
          <w:sz w:val="19"/>
          <w:szCs w:val="19"/>
        </w:rPr>
        <w:t>marta</w:t>
      </w:r>
      <w:proofErr w:type="spellEnd"/>
      <w:r w:rsidRPr="003130B7">
        <w:rPr>
          <w:sz w:val="19"/>
          <w:szCs w:val="19"/>
        </w:rPr>
        <w:t xml:space="preserve"> a u </w:t>
      </w:r>
      <w:proofErr w:type="spellStart"/>
      <w:r w:rsidRPr="003130B7">
        <w:rPr>
          <w:sz w:val="19"/>
          <w:szCs w:val="19"/>
        </w:rPr>
        <w:t>demografskim</w:t>
      </w:r>
      <w:proofErr w:type="spellEnd"/>
      <w:r w:rsidRPr="003130B7">
        <w:rPr>
          <w:sz w:val="19"/>
          <w:szCs w:val="19"/>
        </w:rPr>
        <w:t xml:space="preserve"> </w:t>
      </w:r>
      <w:proofErr w:type="spellStart"/>
      <w:r w:rsidRPr="003130B7">
        <w:rPr>
          <w:sz w:val="19"/>
          <w:szCs w:val="19"/>
        </w:rPr>
        <w:t>podacima</w:t>
      </w:r>
      <w:proofErr w:type="spellEnd"/>
      <w:r w:rsidRPr="003130B7">
        <w:rPr>
          <w:sz w:val="19"/>
          <w:szCs w:val="19"/>
        </w:rPr>
        <w:t xml:space="preserve"> od 1. </w:t>
      </w:r>
      <w:proofErr w:type="spellStart"/>
      <w:r w:rsidRPr="003130B7">
        <w:rPr>
          <w:sz w:val="19"/>
          <w:szCs w:val="19"/>
        </w:rPr>
        <w:t>januara</w:t>
      </w:r>
      <w:proofErr w:type="spellEnd"/>
      <w:r w:rsidRPr="003130B7">
        <w:rPr>
          <w:sz w:val="19"/>
          <w:szCs w:val="19"/>
        </w:rPr>
        <w:t xml:space="preserve">, pa je </w:t>
      </w:r>
      <w:proofErr w:type="spellStart"/>
      <w:r w:rsidRPr="003130B7">
        <w:rPr>
          <w:sz w:val="19"/>
          <w:szCs w:val="19"/>
        </w:rPr>
        <w:t>pitanje</w:t>
      </w:r>
      <w:proofErr w:type="spellEnd"/>
      <w:r w:rsidRPr="003130B7">
        <w:rPr>
          <w:sz w:val="19"/>
          <w:szCs w:val="19"/>
        </w:rPr>
        <w:t xml:space="preserve"> da li </w:t>
      </w:r>
      <w:proofErr w:type="spellStart"/>
      <w:r w:rsidRPr="003130B7">
        <w:rPr>
          <w:sz w:val="19"/>
          <w:szCs w:val="19"/>
        </w:rPr>
        <w:t>statistika</w:t>
      </w:r>
      <w:proofErr w:type="spellEnd"/>
      <w:r w:rsidRPr="003130B7">
        <w:rPr>
          <w:sz w:val="19"/>
          <w:szCs w:val="19"/>
        </w:rPr>
        <w:t xml:space="preserve"> </w:t>
      </w:r>
      <w:proofErr w:type="spellStart"/>
      <w:r w:rsidRPr="003130B7">
        <w:rPr>
          <w:sz w:val="19"/>
          <w:szCs w:val="19"/>
        </w:rPr>
        <w:t>radi</w:t>
      </w:r>
      <w:proofErr w:type="spellEnd"/>
      <w:r w:rsidRPr="003130B7">
        <w:rPr>
          <w:sz w:val="19"/>
          <w:szCs w:val="19"/>
        </w:rPr>
        <w:t xml:space="preserve"> </w:t>
      </w:r>
      <w:proofErr w:type="spellStart"/>
      <w:r w:rsidRPr="003130B7">
        <w:rPr>
          <w:sz w:val="19"/>
          <w:szCs w:val="19"/>
        </w:rPr>
        <w:t>tu</w:t>
      </w:r>
      <w:proofErr w:type="spellEnd"/>
      <w:r w:rsidRPr="003130B7">
        <w:rPr>
          <w:sz w:val="19"/>
          <w:szCs w:val="19"/>
        </w:rPr>
        <w:t xml:space="preserve"> </w:t>
      </w:r>
      <w:proofErr w:type="spellStart"/>
      <w:r w:rsidRPr="003130B7">
        <w:rPr>
          <w:sz w:val="19"/>
          <w:szCs w:val="19"/>
        </w:rPr>
        <w:t>vrstu</w:t>
      </w:r>
      <w:proofErr w:type="spellEnd"/>
      <w:r w:rsidRPr="003130B7">
        <w:rPr>
          <w:sz w:val="19"/>
          <w:szCs w:val="19"/>
        </w:rPr>
        <w:t xml:space="preserve"> </w:t>
      </w:r>
      <w:proofErr w:type="spellStart"/>
      <w:r w:rsidRPr="003130B7">
        <w:rPr>
          <w:sz w:val="19"/>
          <w:szCs w:val="19"/>
        </w:rPr>
        <w:t>usaglašavanja</w:t>
      </w:r>
      <w:proofErr w:type="spellEnd"/>
      <w:r w:rsidRPr="003130B7">
        <w:rPr>
          <w:sz w:val="19"/>
          <w:szCs w:val="19"/>
        </w:rPr>
        <w:t xml:space="preserve">; c) </w:t>
      </w:r>
      <w:proofErr w:type="spellStart"/>
      <w:r w:rsidRPr="003130B7">
        <w:rPr>
          <w:sz w:val="19"/>
          <w:szCs w:val="19"/>
        </w:rPr>
        <w:t>kada</w:t>
      </w:r>
      <w:proofErr w:type="spellEnd"/>
      <w:r w:rsidRPr="003130B7">
        <w:rPr>
          <w:sz w:val="19"/>
          <w:szCs w:val="19"/>
        </w:rPr>
        <w:t xml:space="preserve"> se </w:t>
      </w:r>
      <w:proofErr w:type="spellStart"/>
      <w:r w:rsidRPr="003130B7">
        <w:rPr>
          <w:sz w:val="19"/>
          <w:szCs w:val="19"/>
        </w:rPr>
        <w:t>podaci</w:t>
      </w:r>
      <w:proofErr w:type="spellEnd"/>
      <w:r w:rsidRPr="003130B7">
        <w:rPr>
          <w:sz w:val="19"/>
          <w:szCs w:val="19"/>
        </w:rPr>
        <w:t xml:space="preserve"> </w:t>
      </w:r>
      <w:proofErr w:type="spellStart"/>
      <w:r w:rsidRPr="003130B7">
        <w:rPr>
          <w:sz w:val="19"/>
          <w:szCs w:val="19"/>
        </w:rPr>
        <w:t>posmatraju</w:t>
      </w:r>
      <w:proofErr w:type="spellEnd"/>
      <w:r w:rsidRPr="003130B7">
        <w:rPr>
          <w:sz w:val="19"/>
          <w:szCs w:val="19"/>
        </w:rPr>
        <w:t xml:space="preserve"> </w:t>
      </w:r>
      <w:proofErr w:type="spellStart"/>
      <w:r w:rsidRPr="003130B7">
        <w:rPr>
          <w:sz w:val="19"/>
          <w:szCs w:val="19"/>
        </w:rPr>
        <w:t>na</w:t>
      </w:r>
      <w:proofErr w:type="spellEnd"/>
      <w:r w:rsidRPr="003130B7">
        <w:rPr>
          <w:sz w:val="19"/>
          <w:szCs w:val="19"/>
        </w:rPr>
        <w:t xml:space="preserve"> </w:t>
      </w:r>
      <w:proofErr w:type="spellStart"/>
      <w:r w:rsidRPr="003130B7">
        <w:rPr>
          <w:sz w:val="19"/>
          <w:szCs w:val="19"/>
        </w:rPr>
        <w:t>lokalnom</w:t>
      </w:r>
      <w:proofErr w:type="spellEnd"/>
      <w:r w:rsidRPr="003130B7">
        <w:rPr>
          <w:sz w:val="19"/>
          <w:szCs w:val="19"/>
        </w:rPr>
        <w:t xml:space="preserve"> </w:t>
      </w:r>
      <w:proofErr w:type="spellStart"/>
      <w:r w:rsidRPr="003130B7">
        <w:rPr>
          <w:sz w:val="19"/>
          <w:szCs w:val="19"/>
        </w:rPr>
        <w:t>nivou</w:t>
      </w:r>
      <w:proofErr w:type="spellEnd"/>
      <w:r w:rsidRPr="003130B7">
        <w:rPr>
          <w:sz w:val="19"/>
          <w:szCs w:val="19"/>
        </w:rPr>
        <w:t xml:space="preserve"> problem </w:t>
      </w:r>
      <w:proofErr w:type="spellStart"/>
      <w:r w:rsidRPr="003130B7">
        <w:rPr>
          <w:sz w:val="19"/>
          <w:szCs w:val="19"/>
        </w:rPr>
        <w:t>mogu</w:t>
      </w:r>
      <w:proofErr w:type="spellEnd"/>
      <w:r w:rsidRPr="003130B7">
        <w:rPr>
          <w:sz w:val="19"/>
          <w:szCs w:val="19"/>
        </w:rPr>
        <w:t xml:space="preserve"> da </w:t>
      </w:r>
      <w:proofErr w:type="spellStart"/>
      <w:r w:rsidRPr="003130B7">
        <w:rPr>
          <w:sz w:val="19"/>
          <w:szCs w:val="19"/>
        </w:rPr>
        <w:t>nastanu</w:t>
      </w:r>
      <w:proofErr w:type="spellEnd"/>
      <w:r w:rsidRPr="003130B7">
        <w:rPr>
          <w:sz w:val="19"/>
          <w:szCs w:val="19"/>
        </w:rPr>
        <w:t xml:space="preserve"> </w:t>
      </w:r>
      <w:proofErr w:type="spellStart"/>
      <w:r w:rsidRPr="003130B7">
        <w:rPr>
          <w:sz w:val="19"/>
          <w:szCs w:val="19"/>
        </w:rPr>
        <w:t>usled</w:t>
      </w:r>
      <w:proofErr w:type="spellEnd"/>
      <w:r w:rsidRPr="003130B7">
        <w:rPr>
          <w:sz w:val="19"/>
          <w:szCs w:val="19"/>
        </w:rPr>
        <w:t xml:space="preserve"> </w:t>
      </w:r>
      <w:proofErr w:type="spellStart"/>
      <w:r w:rsidRPr="003130B7">
        <w:rPr>
          <w:sz w:val="19"/>
          <w:szCs w:val="19"/>
        </w:rPr>
        <w:t>migracija</w:t>
      </w:r>
      <w:proofErr w:type="spellEnd"/>
      <w:r w:rsidRPr="003130B7">
        <w:rPr>
          <w:sz w:val="19"/>
          <w:szCs w:val="19"/>
        </w:rPr>
        <w:t xml:space="preserve"> I </w:t>
      </w:r>
      <w:proofErr w:type="spellStart"/>
      <w:r w:rsidRPr="003130B7">
        <w:rPr>
          <w:sz w:val="19"/>
          <w:szCs w:val="19"/>
        </w:rPr>
        <w:t>neažuriranih</w:t>
      </w:r>
      <w:proofErr w:type="spellEnd"/>
      <w:r w:rsidRPr="003130B7">
        <w:rPr>
          <w:sz w:val="19"/>
          <w:szCs w:val="19"/>
        </w:rPr>
        <w:t xml:space="preserve"> </w:t>
      </w:r>
      <w:proofErr w:type="spellStart"/>
      <w:r w:rsidRPr="003130B7">
        <w:rPr>
          <w:sz w:val="19"/>
          <w:szCs w:val="19"/>
        </w:rPr>
        <w:t>podataka</w:t>
      </w:r>
      <w:proofErr w:type="spellEnd"/>
      <w:r w:rsidRPr="003130B7">
        <w:rPr>
          <w:sz w:val="19"/>
          <w:szCs w:val="19"/>
        </w:rPr>
        <w:t xml:space="preserve"> </w:t>
      </w:r>
      <w:proofErr w:type="spellStart"/>
      <w:r w:rsidRPr="003130B7">
        <w:rPr>
          <w:sz w:val="19"/>
          <w:szCs w:val="19"/>
        </w:rPr>
        <w:t>stanovništva</w:t>
      </w:r>
      <w:proofErr w:type="spellEnd"/>
      <w:r w:rsidRPr="003130B7">
        <w:rPr>
          <w:sz w:val="19"/>
          <w:szCs w:val="19"/>
        </w:rPr>
        <w:t xml:space="preserve">, </w:t>
      </w:r>
      <w:proofErr w:type="spellStart"/>
      <w:r w:rsidRPr="003130B7">
        <w:rPr>
          <w:sz w:val="19"/>
          <w:szCs w:val="19"/>
        </w:rPr>
        <w:t>zatim</w:t>
      </w:r>
      <w:proofErr w:type="spellEnd"/>
      <w:r w:rsidRPr="003130B7">
        <w:rPr>
          <w:sz w:val="19"/>
          <w:szCs w:val="19"/>
        </w:rPr>
        <w:t xml:space="preserve"> </w:t>
      </w:r>
      <w:proofErr w:type="spellStart"/>
      <w:r w:rsidRPr="003130B7">
        <w:rPr>
          <w:sz w:val="19"/>
          <w:szCs w:val="19"/>
        </w:rPr>
        <w:t>kada</w:t>
      </w:r>
      <w:proofErr w:type="spellEnd"/>
      <w:r w:rsidRPr="003130B7">
        <w:rPr>
          <w:sz w:val="19"/>
          <w:szCs w:val="19"/>
        </w:rPr>
        <w:t xml:space="preserve"> </w:t>
      </w:r>
      <w:proofErr w:type="spellStart"/>
      <w:r w:rsidRPr="003130B7">
        <w:rPr>
          <w:sz w:val="19"/>
          <w:szCs w:val="19"/>
        </w:rPr>
        <w:t>su</w:t>
      </w:r>
      <w:proofErr w:type="spellEnd"/>
      <w:r w:rsidRPr="003130B7">
        <w:rPr>
          <w:sz w:val="19"/>
          <w:szCs w:val="19"/>
        </w:rPr>
        <w:t xml:space="preserve"> </w:t>
      </w:r>
      <w:proofErr w:type="spellStart"/>
      <w:r w:rsidRPr="003130B7">
        <w:rPr>
          <w:sz w:val="19"/>
          <w:szCs w:val="19"/>
        </w:rPr>
        <w:t>opština</w:t>
      </w:r>
      <w:proofErr w:type="spellEnd"/>
      <w:r w:rsidRPr="003130B7">
        <w:rPr>
          <w:sz w:val="19"/>
          <w:szCs w:val="19"/>
        </w:rPr>
        <w:t xml:space="preserve"> </w:t>
      </w:r>
      <w:proofErr w:type="spellStart"/>
      <w:r w:rsidRPr="003130B7">
        <w:rPr>
          <w:sz w:val="19"/>
          <w:szCs w:val="19"/>
        </w:rPr>
        <w:t>blizu</w:t>
      </w:r>
      <w:proofErr w:type="spellEnd"/>
      <w:r w:rsidRPr="003130B7">
        <w:rPr>
          <w:sz w:val="19"/>
          <w:szCs w:val="19"/>
        </w:rPr>
        <w:t xml:space="preserve"> </w:t>
      </w:r>
      <w:proofErr w:type="spellStart"/>
      <w:r w:rsidRPr="003130B7">
        <w:rPr>
          <w:sz w:val="19"/>
          <w:szCs w:val="19"/>
        </w:rPr>
        <w:t>jedna</w:t>
      </w:r>
      <w:proofErr w:type="spellEnd"/>
      <w:r w:rsidRPr="003130B7">
        <w:rPr>
          <w:sz w:val="19"/>
          <w:szCs w:val="19"/>
        </w:rPr>
        <w:t xml:space="preserve"> </w:t>
      </w:r>
      <w:proofErr w:type="spellStart"/>
      <w:r w:rsidRPr="003130B7">
        <w:rPr>
          <w:sz w:val="19"/>
          <w:szCs w:val="19"/>
        </w:rPr>
        <w:t>drugoj</w:t>
      </w:r>
      <w:proofErr w:type="spellEnd"/>
      <w:r w:rsidRPr="003130B7">
        <w:rPr>
          <w:sz w:val="19"/>
          <w:szCs w:val="19"/>
        </w:rPr>
        <w:t xml:space="preserve"> </w:t>
      </w:r>
      <w:proofErr w:type="spellStart"/>
      <w:r w:rsidRPr="003130B7">
        <w:rPr>
          <w:sz w:val="19"/>
          <w:szCs w:val="19"/>
        </w:rPr>
        <w:t>moguće</w:t>
      </w:r>
      <w:proofErr w:type="spellEnd"/>
      <w:r w:rsidRPr="003130B7">
        <w:rPr>
          <w:sz w:val="19"/>
          <w:szCs w:val="19"/>
        </w:rPr>
        <w:t xml:space="preserve"> je da </w:t>
      </w:r>
      <w:proofErr w:type="spellStart"/>
      <w:r w:rsidRPr="003130B7">
        <w:rPr>
          <w:sz w:val="19"/>
          <w:szCs w:val="19"/>
        </w:rPr>
        <w:t>deca</w:t>
      </w:r>
      <w:proofErr w:type="spellEnd"/>
      <w:r w:rsidRPr="003130B7">
        <w:rPr>
          <w:sz w:val="19"/>
          <w:szCs w:val="19"/>
        </w:rPr>
        <w:t xml:space="preserve"> </w:t>
      </w:r>
      <w:proofErr w:type="spellStart"/>
      <w:r w:rsidRPr="003130B7">
        <w:rPr>
          <w:sz w:val="19"/>
          <w:szCs w:val="19"/>
        </w:rPr>
        <w:t>žive</w:t>
      </w:r>
      <w:proofErr w:type="spellEnd"/>
      <w:r w:rsidRPr="003130B7">
        <w:rPr>
          <w:sz w:val="19"/>
          <w:szCs w:val="19"/>
        </w:rPr>
        <w:t xml:space="preserve"> u </w:t>
      </w:r>
      <w:proofErr w:type="spellStart"/>
      <w:r w:rsidRPr="003130B7">
        <w:rPr>
          <w:sz w:val="19"/>
          <w:szCs w:val="19"/>
        </w:rPr>
        <w:t>jednoj</w:t>
      </w:r>
      <w:proofErr w:type="spellEnd"/>
      <w:r w:rsidRPr="003130B7">
        <w:rPr>
          <w:sz w:val="19"/>
          <w:szCs w:val="19"/>
        </w:rPr>
        <w:t xml:space="preserve"> </w:t>
      </w:r>
      <w:proofErr w:type="spellStart"/>
      <w:r w:rsidRPr="003130B7">
        <w:rPr>
          <w:sz w:val="19"/>
          <w:szCs w:val="19"/>
        </w:rPr>
        <w:t>opštini</w:t>
      </w:r>
      <w:proofErr w:type="spellEnd"/>
      <w:r w:rsidRPr="003130B7">
        <w:rPr>
          <w:sz w:val="19"/>
          <w:szCs w:val="19"/>
        </w:rPr>
        <w:t xml:space="preserve"> a </w:t>
      </w:r>
      <w:proofErr w:type="spellStart"/>
      <w:r w:rsidRPr="003130B7">
        <w:rPr>
          <w:sz w:val="19"/>
          <w:szCs w:val="19"/>
        </w:rPr>
        <w:t>pohađaju</w:t>
      </w:r>
      <w:proofErr w:type="spellEnd"/>
      <w:r w:rsidRPr="003130B7">
        <w:rPr>
          <w:sz w:val="19"/>
          <w:szCs w:val="19"/>
        </w:rPr>
        <w:t xml:space="preserve"> program u </w:t>
      </w:r>
      <w:proofErr w:type="spellStart"/>
      <w:r w:rsidRPr="003130B7">
        <w:rPr>
          <w:sz w:val="19"/>
          <w:szCs w:val="19"/>
        </w:rPr>
        <w:t>drugoj</w:t>
      </w:r>
      <w:proofErr w:type="spellEnd"/>
      <w:r w:rsidRPr="003130B7">
        <w:rPr>
          <w:sz w:val="19"/>
          <w:szCs w:val="19"/>
        </w:rPr>
        <w:t xml:space="preserve">, I </w:t>
      </w:r>
      <w:proofErr w:type="spellStart"/>
      <w:r w:rsidRPr="003130B7">
        <w:rPr>
          <w:sz w:val="19"/>
          <w:szCs w:val="19"/>
        </w:rPr>
        <w:t>na</w:t>
      </w:r>
      <w:proofErr w:type="spellEnd"/>
      <w:r w:rsidRPr="003130B7">
        <w:rPr>
          <w:sz w:val="19"/>
          <w:szCs w:val="19"/>
        </w:rPr>
        <w:t xml:space="preserve"> </w:t>
      </w:r>
      <w:proofErr w:type="spellStart"/>
      <w:r w:rsidRPr="003130B7">
        <w:rPr>
          <w:sz w:val="19"/>
          <w:szCs w:val="19"/>
        </w:rPr>
        <w:t>kraju</w:t>
      </w:r>
      <w:proofErr w:type="spellEnd"/>
      <w:r w:rsidRPr="003130B7">
        <w:rPr>
          <w:sz w:val="19"/>
          <w:szCs w:val="19"/>
        </w:rPr>
        <w:t xml:space="preserve"> </w:t>
      </w:r>
      <w:proofErr w:type="spellStart"/>
      <w:r w:rsidRPr="003130B7">
        <w:rPr>
          <w:sz w:val="19"/>
          <w:szCs w:val="19"/>
        </w:rPr>
        <w:t>uvek</w:t>
      </w:r>
      <w:proofErr w:type="spellEnd"/>
      <w:r w:rsidRPr="003130B7">
        <w:rPr>
          <w:sz w:val="19"/>
          <w:szCs w:val="19"/>
        </w:rPr>
        <w:t xml:space="preserve"> </w:t>
      </w:r>
      <w:proofErr w:type="spellStart"/>
      <w:r w:rsidRPr="003130B7">
        <w:rPr>
          <w:sz w:val="19"/>
          <w:szCs w:val="19"/>
        </w:rPr>
        <w:t>kod</w:t>
      </w:r>
      <w:proofErr w:type="spellEnd"/>
      <w:r w:rsidRPr="003130B7">
        <w:rPr>
          <w:sz w:val="19"/>
          <w:szCs w:val="19"/>
        </w:rPr>
        <w:t xml:space="preserve"> </w:t>
      </w:r>
      <w:proofErr w:type="spellStart"/>
      <w:r w:rsidRPr="003130B7">
        <w:rPr>
          <w:sz w:val="19"/>
          <w:szCs w:val="19"/>
        </w:rPr>
        <w:t>pokazatelja</w:t>
      </w:r>
      <w:proofErr w:type="spellEnd"/>
      <w:r w:rsidRPr="003130B7">
        <w:rPr>
          <w:sz w:val="19"/>
          <w:szCs w:val="19"/>
        </w:rPr>
        <w:t xml:space="preserve"> </w:t>
      </w:r>
      <w:proofErr w:type="spellStart"/>
      <w:r w:rsidRPr="003130B7">
        <w:rPr>
          <w:sz w:val="19"/>
          <w:szCs w:val="19"/>
        </w:rPr>
        <w:t>sa</w:t>
      </w:r>
      <w:proofErr w:type="spellEnd"/>
      <w:r w:rsidRPr="003130B7">
        <w:rPr>
          <w:sz w:val="19"/>
          <w:szCs w:val="19"/>
        </w:rPr>
        <w:t xml:space="preserve"> </w:t>
      </w:r>
      <w:proofErr w:type="spellStart"/>
      <w:r w:rsidRPr="003130B7">
        <w:rPr>
          <w:sz w:val="19"/>
          <w:szCs w:val="19"/>
        </w:rPr>
        <w:t>malim</w:t>
      </w:r>
      <w:proofErr w:type="spellEnd"/>
      <w:r w:rsidRPr="003130B7">
        <w:rPr>
          <w:sz w:val="19"/>
          <w:szCs w:val="19"/>
        </w:rPr>
        <w:t xml:space="preserve"> </w:t>
      </w:r>
      <w:proofErr w:type="spellStart"/>
      <w:r w:rsidRPr="003130B7">
        <w:rPr>
          <w:sz w:val="19"/>
          <w:szCs w:val="19"/>
        </w:rPr>
        <w:t>apsolutnim</w:t>
      </w:r>
      <w:proofErr w:type="spellEnd"/>
      <w:r w:rsidRPr="003130B7">
        <w:rPr>
          <w:sz w:val="19"/>
          <w:szCs w:val="19"/>
        </w:rPr>
        <w:t xml:space="preserve"> </w:t>
      </w:r>
      <w:proofErr w:type="spellStart"/>
      <w:r w:rsidRPr="003130B7">
        <w:rPr>
          <w:sz w:val="19"/>
          <w:szCs w:val="19"/>
        </w:rPr>
        <w:t>vrednostima</w:t>
      </w:r>
      <w:proofErr w:type="spellEnd"/>
      <w:r w:rsidRPr="003130B7">
        <w:rPr>
          <w:sz w:val="19"/>
          <w:szCs w:val="19"/>
        </w:rPr>
        <w:t xml:space="preserve">, </w:t>
      </w:r>
      <w:proofErr w:type="spellStart"/>
      <w:r w:rsidRPr="003130B7">
        <w:rPr>
          <w:sz w:val="19"/>
          <w:szCs w:val="19"/>
        </w:rPr>
        <w:t>što</w:t>
      </w:r>
      <w:proofErr w:type="spellEnd"/>
      <w:r w:rsidRPr="003130B7">
        <w:rPr>
          <w:sz w:val="19"/>
          <w:szCs w:val="19"/>
        </w:rPr>
        <w:t xml:space="preserve"> </w:t>
      </w:r>
      <w:proofErr w:type="spellStart"/>
      <w:r w:rsidRPr="003130B7">
        <w:rPr>
          <w:sz w:val="19"/>
          <w:szCs w:val="19"/>
        </w:rPr>
        <w:t>može</w:t>
      </w:r>
      <w:proofErr w:type="spellEnd"/>
      <w:r w:rsidRPr="003130B7">
        <w:rPr>
          <w:sz w:val="19"/>
          <w:szCs w:val="19"/>
        </w:rPr>
        <w:t xml:space="preserve"> </w:t>
      </w:r>
      <w:proofErr w:type="spellStart"/>
      <w:r w:rsidRPr="003130B7">
        <w:rPr>
          <w:sz w:val="19"/>
          <w:szCs w:val="19"/>
        </w:rPr>
        <w:t>biti</w:t>
      </w:r>
      <w:proofErr w:type="spellEnd"/>
      <w:r w:rsidRPr="003130B7">
        <w:rPr>
          <w:sz w:val="19"/>
          <w:szCs w:val="19"/>
        </w:rPr>
        <w:t xml:space="preserve"> </w:t>
      </w:r>
      <w:proofErr w:type="spellStart"/>
      <w:r w:rsidRPr="003130B7">
        <w:rPr>
          <w:sz w:val="19"/>
          <w:szCs w:val="19"/>
        </w:rPr>
        <w:t>slučaj</w:t>
      </w:r>
      <w:proofErr w:type="spellEnd"/>
      <w:r w:rsidRPr="003130B7">
        <w:rPr>
          <w:sz w:val="19"/>
          <w:szCs w:val="19"/>
        </w:rPr>
        <w:t xml:space="preserve"> </w:t>
      </w:r>
      <w:proofErr w:type="spellStart"/>
      <w:r w:rsidRPr="003130B7">
        <w:rPr>
          <w:sz w:val="19"/>
          <w:szCs w:val="19"/>
        </w:rPr>
        <w:t>kod</w:t>
      </w:r>
      <w:proofErr w:type="spellEnd"/>
      <w:r w:rsidRPr="003130B7">
        <w:rPr>
          <w:sz w:val="19"/>
          <w:szCs w:val="19"/>
        </w:rPr>
        <w:t xml:space="preserve"> </w:t>
      </w:r>
      <w:proofErr w:type="spellStart"/>
      <w:r w:rsidRPr="003130B7">
        <w:rPr>
          <w:sz w:val="19"/>
          <w:szCs w:val="19"/>
        </w:rPr>
        <w:t>opština</w:t>
      </w:r>
      <w:proofErr w:type="spellEnd"/>
      <w:r w:rsidRPr="003130B7">
        <w:rPr>
          <w:sz w:val="19"/>
          <w:szCs w:val="19"/>
        </w:rPr>
        <w:t xml:space="preserve">, </w:t>
      </w:r>
      <w:proofErr w:type="spellStart"/>
      <w:r w:rsidRPr="003130B7">
        <w:rPr>
          <w:sz w:val="19"/>
          <w:szCs w:val="19"/>
        </w:rPr>
        <w:t>relativne</w:t>
      </w:r>
      <w:proofErr w:type="spellEnd"/>
      <w:r w:rsidRPr="003130B7">
        <w:rPr>
          <w:sz w:val="19"/>
          <w:szCs w:val="19"/>
        </w:rPr>
        <w:t xml:space="preserve"> </w:t>
      </w:r>
      <w:proofErr w:type="spellStart"/>
      <w:r w:rsidRPr="003130B7">
        <w:rPr>
          <w:sz w:val="19"/>
          <w:szCs w:val="19"/>
        </w:rPr>
        <w:t>vrednosti</w:t>
      </w:r>
      <w:proofErr w:type="spellEnd"/>
      <w:r w:rsidRPr="003130B7">
        <w:rPr>
          <w:sz w:val="19"/>
          <w:szCs w:val="19"/>
        </w:rPr>
        <w:t xml:space="preserve"> </w:t>
      </w:r>
      <w:proofErr w:type="spellStart"/>
      <w:r w:rsidRPr="003130B7">
        <w:rPr>
          <w:sz w:val="19"/>
          <w:szCs w:val="19"/>
        </w:rPr>
        <w:t>mogu</w:t>
      </w:r>
      <w:proofErr w:type="spellEnd"/>
      <w:r w:rsidRPr="003130B7">
        <w:rPr>
          <w:sz w:val="19"/>
          <w:szCs w:val="19"/>
        </w:rPr>
        <w:t xml:space="preserve"> da </w:t>
      </w:r>
      <w:proofErr w:type="spellStart"/>
      <w:r w:rsidRPr="003130B7">
        <w:rPr>
          <w:sz w:val="19"/>
          <w:szCs w:val="19"/>
        </w:rPr>
        <w:t>pokažu</w:t>
      </w:r>
      <w:proofErr w:type="spellEnd"/>
      <w:r w:rsidRPr="003130B7">
        <w:rPr>
          <w:sz w:val="19"/>
          <w:szCs w:val="19"/>
        </w:rPr>
        <w:t xml:space="preserve"> </w:t>
      </w:r>
      <w:proofErr w:type="spellStart"/>
      <w:r w:rsidRPr="003130B7">
        <w:rPr>
          <w:sz w:val="19"/>
          <w:szCs w:val="19"/>
        </w:rPr>
        <w:t>velike</w:t>
      </w:r>
      <w:proofErr w:type="spellEnd"/>
      <w:r w:rsidRPr="003130B7">
        <w:rPr>
          <w:sz w:val="19"/>
          <w:szCs w:val="19"/>
        </w:rPr>
        <w:t xml:space="preserve"> </w:t>
      </w:r>
      <w:proofErr w:type="spellStart"/>
      <w:r w:rsidRPr="003130B7">
        <w:rPr>
          <w:sz w:val="19"/>
          <w:szCs w:val="19"/>
        </w:rPr>
        <w:t>promene</w:t>
      </w:r>
      <w:proofErr w:type="spellEnd"/>
      <w:r w:rsidRPr="003130B7">
        <w:rPr>
          <w:sz w:val="19"/>
          <w:szCs w:val="19"/>
        </w:rPr>
        <w:t xml:space="preserve"> </w:t>
      </w:r>
      <w:proofErr w:type="spellStart"/>
      <w:r w:rsidRPr="003130B7">
        <w:rPr>
          <w:sz w:val="19"/>
          <w:szCs w:val="19"/>
        </w:rPr>
        <w:t>koje</w:t>
      </w:r>
      <w:proofErr w:type="spellEnd"/>
      <w:r w:rsidRPr="003130B7">
        <w:rPr>
          <w:sz w:val="19"/>
          <w:szCs w:val="19"/>
        </w:rPr>
        <w:t xml:space="preserve"> </w:t>
      </w:r>
      <w:proofErr w:type="spellStart"/>
      <w:r w:rsidRPr="003130B7">
        <w:rPr>
          <w:sz w:val="19"/>
          <w:szCs w:val="19"/>
        </w:rPr>
        <w:t>su</w:t>
      </w:r>
      <w:proofErr w:type="spellEnd"/>
      <w:r w:rsidRPr="003130B7">
        <w:rPr>
          <w:sz w:val="19"/>
          <w:szCs w:val="19"/>
        </w:rPr>
        <w:t xml:space="preserve"> u </w:t>
      </w:r>
      <w:proofErr w:type="spellStart"/>
      <w:r w:rsidRPr="003130B7">
        <w:rPr>
          <w:sz w:val="19"/>
          <w:szCs w:val="19"/>
        </w:rPr>
        <w:t>apsolutnom</w:t>
      </w:r>
      <w:proofErr w:type="spellEnd"/>
      <w:r w:rsidRPr="003130B7">
        <w:rPr>
          <w:sz w:val="19"/>
          <w:szCs w:val="19"/>
        </w:rPr>
        <w:t xml:space="preserve"> </w:t>
      </w:r>
      <w:proofErr w:type="spellStart"/>
      <w:r w:rsidRPr="003130B7">
        <w:rPr>
          <w:sz w:val="19"/>
          <w:szCs w:val="19"/>
        </w:rPr>
        <w:t>iznosu</w:t>
      </w:r>
      <w:proofErr w:type="spellEnd"/>
      <w:r w:rsidRPr="003130B7">
        <w:rPr>
          <w:sz w:val="19"/>
          <w:szCs w:val="19"/>
        </w:rPr>
        <w:t xml:space="preserve"> </w:t>
      </w:r>
      <w:proofErr w:type="spellStart"/>
      <w:r w:rsidRPr="003130B7">
        <w:rPr>
          <w:sz w:val="19"/>
          <w:szCs w:val="19"/>
        </w:rPr>
        <w:t>zapravo</w:t>
      </w:r>
      <w:proofErr w:type="spellEnd"/>
      <w:r w:rsidRPr="003130B7">
        <w:rPr>
          <w:sz w:val="19"/>
          <w:szCs w:val="19"/>
        </w:rPr>
        <w:t xml:space="preserve"> male</w:t>
      </w:r>
    </w:p>
    <w:p w14:paraId="182D2A4A" w14:textId="77777777" w:rsidR="00F07BB2" w:rsidRPr="00B3089C" w:rsidRDefault="00F07BB2" w:rsidP="00F07BB2">
      <w:pPr>
        <w:pStyle w:val="FootnoteText"/>
        <w:pBdr>
          <w:top w:val="single" w:sz="4" w:space="1" w:color="auto"/>
          <w:left w:val="single" w:sz="4" w:space="4" w:color="auto"/>
          <w:bottom w:val="single" w:sz="4" w:space="1" w:color="auto"/>
          <w:right w:val="single" w:sz="4" w:space="4" w:color="auto"/>
        </w:pBdr>
        <w:spacing w:after="60"/>
        <w:jc w:val="both"/>
        <w:rPr>
          <w:sz w:val="10"/>
          <w:szCs w:val="10"/>
        </w:rPr>
      </w:pPr>
    </w:p>
    <w:p w14:paraId="206265D0" w14:textId="77777777" w:rsidR="00F07BB2" w:rsidRDefault="00F07BB2" w:rsidP="00DB5D24">
      <w:pPr>
        <w:jc w:val="both"/>
        <w:rPr>
          <w:b/>
          <w:i/>
          <w:sz w:val="22"/>
          <w:szCs w:val="22"/>
        </w:rPr>
      </w:pPr>
    </w:p>
    <w:p w14:paraId="7BCBA103" w14:textId="55E9CE9B" w:rsidR="00B3089C" w:rsidRPr="00A05549" w:rsidRDefault="00864DDD" w:rsidP="00DB5D24">
      <w:pPr>
        <w:jc w:val="both"/>
        <w:rPr>
          <w:rFonts w:asciiTheme="minorHAnsi" w:hAnsiTheme="minorHAnsi"/>
          <w:sz w:val="22"/>
          <w:szCs w:val="22"/>
        </w:rPr>
      </w:pPr>
      <w:r w:rsidRPr="00470E4A">
        <w:rPr>
          <w:rFonts w:asciiTheme="minorHAnsi" w:hAnsiTheme="minorHAnsi"/>
          <w:b/>
          <w:i/>
          <w:sz w:val="22"/>
          <w:szCs w:val="22"/>
        </w:rPr>
        <w:t xml:space="preserve">I </w:t>
      </w:r>
      <w:proofErr w:type="spellStart"/>
      <w:r w:rsidRPr="00470E4A">
        <w:rPr>
          <w:rFonts w:asciiTheme="minorHAnsi" w:hAnsiTheme="minorHAnsi"/>
          <w:b/>
          <w:i/>
          <w:sz w:val="22"/>
          <w:szCs w:val="22"/>
        </w:rPr>
        <w:t>pored</w:t>
      </w:r>
      <w:proofErr w:type="spellEnd"/>
      <w:r w:rsidRPr="00470E4A">
        <w:rPr>
          <w:rFonts w:asciiTheme="minorHAnsi" w:hAnsiTheme="minorHAnsi"/>
          <w:b/>
          <w:i/>
          <w:sz w:val="22"/>
          <w:szCs w:val="22"/>
        </w:rPr>
        <w:t xml:space="preserve"> </w:t>
      </w:r>
      <w:proofErr w:type="spellStart"/>
      <w:r w:rsidRPr="00470E4A">
        <w:rPr>
          <w:rFonts w:asciiTheme="minorHAnsi" w:hAnsiTheme="minorHAnsi"/>
          <w:b/>
          <w:i/>
          <w:sz w:val="22"/>
          <w:szCs w:val="22"/>
        </w:rPr>
        <w:t>rasta</w:t>
      </w:r>
      <w:proofErr w:type="spellEnd"/>
      <w:r w:rsidRPr="00470E4A">
        <w:rPr>
          <w:rFonts w:asciiTheme="minorHAnsi" w:hAnsiTheme="minorHAnsi"/>
          <w:b/>
          <w:i/>
          <w:sz w:val="22"/>
          <w:szCs w:val="22"/>
        </w:rPr>
        <w:t xml:space="preserve">, </w:t>
      </w:r>
      <w:proofErr w:type="spellStart"/>
      <w:r w:rsidRPr="00470E4A">
        <w:rPr>
          <w:rFonts w:asciiTheme="minorHAnsi" w:hAnsiTheme="minorHAnsi"/>
          <w:b/>
          <w:i/>
          <w:sz w:val="22"/>
          <w:szCs w:val="22"/>
        </w:rPr>
        <w:t>o</w:t>
      </w:r>
      <w:r w:rsidR="00DB5D24" w:rsidRPr="00470E4A">
        <w:rPr>
          <w:rFonts w:asciiTheme="minorHAnsi" w:hAnsiTheme="minorHAnsi"/>
          <w:b/>
          <w:i/>
          <w:sz w:val="22"/>
          <w:szCs w:val="22"/>
        </w:rPr>
        <w:t>buhvat</w:t>
      </w:r>
      <w:proofErr w:type="spellEnd"/>
      <w:r w:rsidR="00DB5D24" w:rsidRPr="00470E4A">
        <w:rPr>
          <w:rFonts w:asciiTheme="minorHAnsi" w:hAnsiTheme="minorHAnsi"/>
          <w:b/>
          <w:i/>
          <w:sz w:val="22"/>
          <w:szCs w:val="22"/>
        </w:rPr>
        <w:t xml:space="preserve"> </w:t>
      </w:r>
      <w:proofErr w:type="spellStart"/>
      <w:r w:rsidR="00DB5D24" w:rsidRPr="00470E4A">
        <w:rPr>
          <w:rFonts w:asciiTheme="minorHAnsi" w:hAnsiTheme="minorHAnsi"/>
          <w:b/>
          <w:i/>
          <w:sz w:val="22"/>
          <w:szCs w:val="22"/>
        </w:rPr>
        <w:t>dece</w:t>
      </w:r>
      <w:proofErr w:type="spellEnd"/>
      <w:r w:rsidR="00DB5D24" w:rsidRPr="00470E4A">
        <w:rPr>
          <w:rFonts w:asciiTheme="minorHAnsi" w:hAnsiTheme="minorHAnsi"/>
          <w:b/>
          <w:i/>
          <w:sz w:val="22"/>
          <w:szCs w:val="22"/>
        </w:rPr>
        <w:t xml:space="preserve"> </w:t>
      </w:r>
      <w:r w:rsidR="00E92B30" w:rsidRPr="00470E4A">
        <w:rPr>
          <w:rFonts w:asciiTheme="minorHAnsi" w:hAnsiTheme="minorHAnsi"/>
          <w:b/>
          <w:i/>
          <w:sz w:val="22"/>
          <w:szCs w:val="22"/>
        </w:rPr>
        <w:t>P</w:t>
      </w:r>
      <w:r w:rsidRPr="00470E4A">
        <w:rPr>
          <w:rFonts w:asciiTheme="minorHAnsi" w:hAnsiTheme="minorHAnsi"/>
          <w:b/>
          <w:i/>
          <w:sz w:val="22"/>
          <w:szCs w:val="22"/>
        </w:rPr>
        <w:t>VO</w:t>
      </w:r>
      <w:r w:rsidR="00E92B30" w:rsidRPr="00470E4A">
        <w:rPr>
          <w:rFonts w:asciiTheme="minorHAnsi" w:hAnsiTheme="minorHAnsi"/>
          <w:b/>
          <w:i/>
          <w:sz w:val="22"/>
          <w:szCs w:val="22"/>
        </w:rPr>
        <w:t xml:space="preserve"> </w:t>
      </w:r>
      <w:proofErr w:type="spellStart"/>
      <w:r w:rsidR="00C12EDD">
        <w:rPr>
          <w:rFonts w:asciiTheme="minorHAnsi" w:hAnsiTheme="minorHAnsi"/>
          <w:b/>
          <w:i/>
          <w:sz w:val="22"/>
          <w:szCs w:val="22"/>
        </w:rPr>
        <w:t>još</w:t>
      </w:r>
      <w:proofErr w:type="spellEnd"/>
      <w:r w:rsidR="00C12EDD">
        <w:rPr>
          <w:rFonts w:asciiTheme="minorHAnsi" w:hAnsiTheme="minorHAnsi"/>
          <w:b/>
          <w:i/>
          <w:sz w:val="22"/>
          <w:szCs w:val="22"/>
        </w:rPr>
        <w:t xml:space="preserve"> </w:t>
      </w:r>
      <w:proofErr w:type="spellStart"/>
      <w:r w:rsidR="00C12EDD">
        <w:rPr>
          <w:rFonts w:asciiTheme="minorHAnsi" w:hAnsiTheme="minorHAnsi"/>
          <w:b/>
          <w:i/>
          <w:sz w:val="22"/>
          <w:szCs w:val="22"/>
        </w:rPr>
        <w:t>uvek</w:t>
      </w:r>
      <w:proofErr w:type="spellEnd"/>
      <w:r w:rsidR="00C12EDD">
        <w:rPr>
          <w:rFonts w:asciiTheme="minorHAnsi" w:hAnsiTheme="minorHAnsi"/>
          <w:b/>
          <w:i/>
          <w:sz w:val="22"/>
          <w:szCs w:val="22"/>
        </w:rPr>
        <w:t xml:space="preserve"> </w:t>
      </w:r>
      <w:proofErr w:type="spellStart"/>
      <w:r w:rsidR="00C12EDD">
        <w:rPr>
          <w:rFonts w:asciiTheme="minorHAnsi" w:hAnsiTheme="minorHAnsi"/>
          <w:b/>
          <w:i/>
          <w:sz w:val="22"/>
          <w:szCs w:val="22"/>
        </w:rPr>
        <w:t>nije</w:t>
      </w:r>
      <w:proofErr w:type="spellEnd"/>
      <w:r w:rsidR="00C12EDD">
        <w:rPr>
          <w:rFonts w:asciiTheme="minorHAnsi" w:hAnsiTheme="minorHAnsi"/>
          <w:b/>
          <w:i/>
          <w:sz w:val="22"/>
          <w:szCs w:val="22"/>
        </w:rPr>
        <w:t xml:space="preserve"> </w:t>
      </w:r>
      <w:proofErr w:type="spellStart"/>
      <w:r w:rsidR="00C12EDD">
        <w:rPr>
          <w:rFonts w:asciiTheme="minorHAnsi" w:hAnsiTheme="minorHAnsi"/>
          <w:b/>
          <w:i/>
          <w:sz w:val="22"/>
          <w:szCs w:val="22"/>
        </w:rPr>
        <w:t>dostigao</w:t>
      </w:r>
      <w:proofErr w:type="spellEnd"/>
      <w:r w:rsidR="00C12EDD">
        <w:rPr>
          <w:rFonts w:asciiTheme="minorHAnsi" w:hAnsiTheme="minorHAnsi"/>
          <w:b/>
          <w:i/>
          <w:sz w:val="22"/>
          <w:szCs w:val="22"/>
        </w:rPr>
        <w:t xml:space="preserve"> </w:t>
      </w:r>
      <w:proofErr w:type="spellStart"/>
      <w:r w:rsidRPr="00470E4A">
        <w:rPr>
          <w:rFonts w:asciiTheme="minorHAnsi" w:hAnsiTheme="minorHAnsi"/>
          <w:b/>
          <w:i/>
          <w:sz w:val="22"/>
          <w:szCs w:val="22"/>
        </w:rPr>
        <w:t>prose</w:t>
      </w:r>
      <w:r w:rsidR="00E30655">
        <w:rPr>
          <w:rFonts w:asciiTheme="minorHAnsi" w:hAnsiTheme="minorHAnsi"/>
          <w:b/>
          <w:i/>
          <w:sz w:val="22"/>
          <w:szCs w:val="22"/>
        </w:rPr>
        <w:t>k</w:t>
      </w:r>
      <w:proofErr w:type="spellEnd"/>
      <w:r w:rsidRPr="00470E4A">
        <w:rPr>
          <w:rFonts w:asciiTheme="minorHAnsi" w:hAnsiTheme="minorHAnsi"/>
          <w:b/>
          <w:i/>
          <w:sz w:val="22"/>
          <w:szCs w:val="22"/>
        </w:rPr>
        <w:t xml:space="preserve"> </w:t>
      </w:r>
      <w:proofErr w:type="spellStart"/>
      <w:r w:rsidRPr="00470E4A">
        <w:rPr>
          <w:rFonts w:asciiTheme="minorHAnsi" w:hAnsiTheme="minorHAnsi"/>
          <w:b/>
          <w:i/>
          <w:sz w:val="22"/>
          <w:szCs w:val="22"/>
        </w:rPr>
        <w:t>Srbije</w:t>
      </w:r>
      <w:proofErr w:type="spellEnd"/>
      <w:r w:rsidR="00C12EDD">
        <w:rPr>
          <w:rFonts w:asciiTheme="minorHAnsi" w:hAnsiTheme="minorHAnsi"/>
          <w:b/>
          <w:i/>
          <w:sz w:val="22"/>
          <w:szCs w:val="22"/>
        </w:rPr>
        <w:t xml:space="preserve"> </w:t>
      </w:r>
      <w:proofErr w:type="spellStart"/>
      <w:r w:rsidR="00C12EDD">
        <w:rPr>
          <w:rFonts w:asciiTheme="minorHAnsi" w:hAnsiTheme="minorHAnsi"/>
          <w:b/>
          <w:i/>
          <w:sz w:val="22"/>
          <w:szCs w:val="22"/>
        </w:rPr>
        <w:t>sem</w:t>
      </w:r>
      <w:proofErr w:type="spellEnd"/>
      <w:r w:rsidR="00C12EDD">
        <w:rPr>
          <w:rFonts w:asciiTheme="minorHAnsi" w:hAnsiTheme="minorHAnsi"/>
          <w:b/>
          <w:i/>
          <w:sz w:val="22"/>
          <w:szCs w:val="22"/>
        </w:rPr>
        <w:t xml:space="preserve"> u </w:t>
      </w:r>
      <w:proofErr w:type="spellStart"/>
      <w:r w:rsidR="00C12EDD">
        <w:rPr>
          <w:rFonts w:asciiTheme="minorHAnsi" w:hAnsiTheme="minorHAnsi"/>
          <w:b/>
          <w:i/>
          <w:sz w:val="22"/>
          <w:szCs w:val="22"/>
        </w:rPr>
        <w:t>slučaju</w:t>
      </w:r>
      <w:proofErr w:type="spellEnd"/>
      <w:r w:rsidR="00C12EDD">
        <w:rPr>
          <w:rFonts w:asciiTheme="minorHAnsi" w:hAnsiTheme="minorHAnsi"/>
          <w:b/>
          <w:i/>
          <w:sz w:val="22"/>
          <w:szCs w:val="22"/>
        </w:rPr>
        <w:t xml:space="preserve"> </w:t>
      </w:r>
      <w:proofErr w:type="spellStart"/>
      <w:r w:rsidR="00C12EDD">
        <w:rPr>
          <w:rFonts w:asciiTheme="minorHAnsi" w:hAnsiTheme="minorHAnsi"/>
          <w:b/>
          <w:i/>
          <w:sz w:val="22"/>
          <w:szCs w:val="22"/>
        </w:rPr>
        <w:t>obaveznog</w:t>
      </w:r>
      <w:proofErr w:type="spellEnd"/>
      <w:r w:rsidR="00C12EDD">
        <w:rPr>
          <w:rFonts w:asciiTheme="minorHAnsi" w:hAnsiTheme="minorHAnsi"/>
          <w:b/>
          <w:i/>
          <w:sz w:val="22"/>
          <w:szCs w:val="22"/>
        </w:rPr>
        <w:t xml:space="preserve"> PPP</w:t>
      </w:r>
      <w:r w:rsidR="00BC595C" w:rsidRPr="00470E4A">
        <w:rPr>
          <w:rFonts w:asciiTheme="minorHAnsi" w:hAnsiTheme="minorHAnsi"/>
          <w:b/>
          <w:i/>
          <w:sz w:val="22"/>
          <w:szCs w:val="22"/>
        </w:rPr>
        <w:t xml:space="preserve">. </w:t>
      </w:r>
      <w:proofErr w:type="spellStart"/>
      <w:r w:rsidR="00A05549" w:rsidRPr="00470E4A">
        <w:rPr>
          <w:rFonts w:asciiTheme="minorHAnsi" w:hAnsiTheme="minorHAnsi"/>
          <w:sz w:val="22"/>
          <w:szCs w:val="22"/>
        </w:rPr>
        <w:t>Poređenje</w:t>
      </w:r>
      <w:proofErr w:type="spellEnd"/>
      <w:r w:rsidR="00A05549" w:rsidRPr="00470E4A">
        <w:rPr>
          <w:rFonts w:asciiTheme="minorHAnsi" w:hAnsiTheme="minorHAnsi"/>
          <w:sz w:val="22"/>
          <w:szCs w:val="22"/>
        </w:rPr>
        <w:t xml:space="preserve"> </w:t>
      </w:r>
      <w:proofErr w:type="spellStart"/>
      <w:r w:rsidR="00A05549" w:rsidRPr="00470E4A">
        <w:rPr>
          <w:rFonts w:asciiTheme="minorHAnsi" w:hAnsiTheme="minorHAnsi"/>
          <w:sz w:val="22"/>
          <w:szCs w:val="22"/>
        </w:rPr>
        <w:t>petogodišnjeg</w:t>
      </w:r>
      <w:proofErr w:type="spellEnd"/>
      <w:r w:rsidR="00A05549" w:rsidRPr="00470E4A">
        <w:rPr>
          <w:rFonts w:asciiTheme="minorHAnsi" w:hAnsiTheme="minorHAnsi"/>
          <w:sz w:val="22"/>
          <w:szCs w:val="22"/>
        </w:rPr>
        <w:t xml:space="preserve"> </w:t>
      </w:r>
      <w:proofErr w:type="spellStart"/>
      <w:r w:rsidR="00A05549" w:rsidRPr="00470E4A">
        <w:rPr>
          <w:rFonts w:asciiTheme="minorHAnsi" w:hAnsiTheme="minorHAnsi"/>
          <w:sz w:val="22"/>
          <w:szCs w:val="22"/>
        </w:rPr>
        <w:t>proseka</w:t>
      </w:r>
      <w:proofErr w:type="spellEnd"/>
      <w:r w:rsidR="003E4794" w:rsidRPr="00470E4A">
        <w:rPr>
          <w:rStyle w:val="FootnoteReference"/>
          <w:rFonts w:asciiTheme="minorHAnsi" w:hAnsiTheme="minorHAnsi"/>
          <w:sz w:val="22"/>
          <w:szCs w:val="22"/>
        </w:rPr>
        <w:footnoteReference w:id="11"/>
      </w:r>
      <w:r w:rsidR="002C0507" w:rsidRPr="00470E4A">
        <w:rPr>
          <w:rFonts w:asciiTheme="minorHAnsi" w:hAnsiTheme="minorHAnsi"/>
          <w:sz w:val="22"/>
          <w:szCs w:val="22"/>
        </w:rPr>
        <w:t xml:space="preserve"> </w:t>
      </w:r>
      <w:proofErr w:type="spellStart"/>
      <w:r w:rsidR="002C0507" w:rsidRPr="00470E4A">
        <w:rPr>
          <w:rFonts w:asciiTheme="minorHAnsi" w:hAnsiTheme="minorHAnsi"/>
          <w:sz w:val="22"/>
          <w:szCs w:val="22"/>
        </w:rPr>
        <w:t>pokazuje</w:t>
      </w:r>
      <w:proofErr w:type="spellEnd"/>
      <w:r w:rsidR="002C0507" w:rsidRPr="00470E4A">
        <w:rPr>
          <w:rFonts w:asciiTheme="minorHAnsi" w:hAnsiTheme="minorHAnsi"/>
          <w:sz w:val="22"/>
          <w:szCs w:val="22"/>
        </w:rPr>
        <w:t xml:space="preserve"> da je </w:t>
      </w:r>
      <w:proofErr w:type="spellStart"/>
      <w:r w:rsidR="002C0507" w:rsidRPr="00470E4A">
        <w:rPr>
          <w:rFonts w:asciiTheme="minorHAnsi" w:hAnsiTheme="minorHAnsi"/>
          <w:sz w:val="22"/>
          <w:szCs w:val="22"/>
        </w:rPr>
        <w:t>obuhvat</w:t>
      </w:r>
      <w:proofErr w:type="spellEnd"/>
      <w:r w:rsidR="002C0507" w:rsidRPr="00470E4A">
        <w:rPr>
          <w:rFonts w:asciiTheme="minorHAnsi" w:hAnsiTheme="minorHAnsi"/>
          <w:sz w:val="22"/>
          <w:szCs w:val="22"/>
        </w:rPr>
        <w:t xml:space="preserve"> </w:t>
      </w:r>
      <w:proofErr w:type="spellStart"/>
      <w:r w:rsidR="0017558B" w:rsidRPr="00470E4A">
        <w:rPr>
          <w:rFonts w:asciiTheme="minorHAnsi" w:hAnsiTheme="minorHAnsi"/>
          <w:sz w:val="22"/>
          <w:szCs w:val="22"/>
        </w:rPr>
        <w:t>dece</w:t>
      </w:r>
      <w:proofErr w:type="spellEnd"/>
      <w:r w:rsidR="0017558B" w:rsidRPr="00470E4A">
        <w:rPr>
          <w:rFonts w:asciiTheme="minorHAnsi" w:hAnsiTheme="minorHAnsi"/>
          <w:sz w:val="22"/>
          <w:szCs w:val="22"/>
        </w:rPr>
        <w:t xml:space="preserve"> </w:t>
      </w:r>
      <w:proofErr w:type="spellStart"/>
      <w:r w:rsidR="00470E4A" w:rsidRPr="00470E4A">
        <w:rPr>
          <w:rFonts w:asciiTheme="minorHAnsi" w:hAnsiTheme="minorHAnsi"/>
          <w:sz w:val="22"/>
          <w:szCs w:val="22"/>
        </w:rPr>
        <w:t>jaslenog</w:t>
      </w:r>
      <w:proofErr w:type="spellEnd"/>
      <w:r w:rsidR="00470E4A" w:rsidRPr="00470E4A">
        <w:rPr>
          <w:rFonts w:asciiTheme="minorHAnsi" w:hAnsiTheme="minorHAnsi"/>
          <w:sz w:val="22"/>
          <w:szCs w:val="22"/>
        </w:rPr>
        <w:t xml:space="preserve"> </w:t>
      </w:r>
      <w:proofErr w:type="spellStart"/>
      <w:r w:rsidR="00470E4A" w:rsidRPr="00470E4A">
        <w:rPr>
          <w:rFonts w:asciiTheme="minorHAnsi" w:hAnsiTheme="minorHAnsi"/>
          <w:sz w:val="22"/>
          <w:szCs w:val="22"/>
        </w:rPr>
        <w:t>uzrasta</w:t>
      </w:r>
      <w:proofErr w:type="spellEnd"/>
      <w:r w:rsidR="00470E4A" w:rsidRPr="00470E4A">
        <w:rPr>
          <w:rFonts w:asciiTheme="minorHAnsi" w:hAnsiTheme="minorHAnsi"/>
          <w:sz w:val="22"/>
          <w:szCs w:val="22"/>
        </w:rPr>
        <w:t xml:space="preserve"> </w:t>
      </w:r>
      <w:proofErr w:type="spellStart"/>
      <w:r w:rsidR="00470E4A" w:rsidRPr="00470E4A">
        <w:rPr>
          <w:rFonts w:asciiTheme="minorHAnsi" w:hAnsiTheme="minorHAnsi"/>
          <w:sz w:val="22"/>
          <w:szCs w:val="22"/>
        </w:rPr>
        <w:t>na</w:t>
      </w:r>
      <w:proofErr w:type="spellEnd"/>
      <w:r w:rsidR="00470E4A" w:rsidRPr="00470E4A">
        <w:rPr>
          <w:rFonts w:asciiTheme="minorHAnsi" w:hAnsiTheme="minorHAnsi"/>
          <w:sz w:val="22"/>
          <w:szCs w:val="22"/>
        </w:rPr>
        <w:t xml:space="preserve"> </w:t>
      </w:r>
      <w:proofErr w:type="spellStart"/>
      <w:r w:rsidR="00470E4A" w:rsidRPr="00470E4A">
        <w:rPr>
          <w:rFonts w:asciiTheme="minorHAnsi" w:hAnsiTheme="minorHAnsi"/>
          <w:sz w:val="22"/>
          <w:szCs w:val="22"/>
        </w:rPr>
        <w:t>nivou</w:t>
      </w:r>
      <w:proofErr w:type="spellEnd"/>
      <w:r w:rsidR="00470E4A" w:rsidRPr="00470E4A">
        <w:rPr>
          <w:rFonts w:asciiTheme="minorHAnsi" w:hAnsiTheme="minorHAnsi"/>
          <w:sz w:val="22"/>
          <w:szCs w:val="22"/>
        </w:rPr>
        <w:t xml:space="preserve"> od </w:t>
      </w:r>
      <w:proofErr w:type="spellStart"/>
      <w:r w:rsidR="00470E4A" w:rsidRPr="00470E4A">
        <w:rPr>
          <w:rFonts w:asciiTheme="minorHAnsi" w:hAnsiTheme="minorHAnsi"/>
          <w:sz w:val="22"/>
          <w:szCs w:val="22"/>
        </w:rPr>
        <w:t>oko</w:t>
      </w:r>
      <w:proofErr w:type="spellEnd"/>
      <w:r w:rsidR="00470E4A" w:rsidRPr="00470E4A">
        <w:rPr>
          <w:rFonts w:asciiTheme="minorHAnsi" w:hAnsiTheme="minorHAnsi"/>
          <w:sz w:val="22"/>
          <w:szCs w:val="22"/>
        </w:rPr>
        <w:t xml:space="preserve"> 1</w:t>
      </w:r>
      <w:r w:rsidR="00C12EDD">
        <w:rPr>
          <w:rFonts w:asciiTheme="minorHAnsi" w:hAnsiTheme="minorHAnsi"/>
          <w:sz w:val="22"/>
          <w:szCs w:val="22"/>
        </w:rPr>
        <w:t>5</w:t>
      </w:r>
      <w:r w:rsidR="00470E4A" w:rsidRPr="00470E4A">
        <w:rPr>
          <w:rFonts w:asciiTheme="minorHAnsi" w:hAnsiTheme="minorHAnsi"/>
          <w:sz w:val="22"/>
          <w:szCs w:val="22"/>
        </w:rPr>
        <w:t xml:space="preserve">% a </w:t>
      </w:r>
      <w:proofErr w:type="spellStart"/>
      <w:r w:rsidR="00470E4A" w:rsidRPr="00470E4A">
        <w:rPr>
          <w:rFonts w:asciiTheme="minorHAnsi" w:hAnsiTheme="minorHAnsi"/>
          <w:sz w:val="22"/>
          <w:szCs w:val="22"/>
        </w:rPr>
        <w:t>vrtićkog</w:t>
      </w:r>
      <w:proofErr w:type="spellEnd"/>
      <w:r w:rsidR="00470E4A" w:rsidRPr="00470E4A">
        <w:rPr>
          <w:rFonts w:asciiTheme="minorHAnsi" w:hAnsiTheme="minorHAnsi"/>
          <w:sz w:val="22"/>
          <w:szCs w:val="22"/>
        </w:rPr>
        <w:t xml:space="preserve"> </w:t>
      </w:r>
      <w:proofErr w:type="spellStart"/>
      <w:r w:rsidR="00470E4A" w:rsidRPr="00470E4A">
        <w:rPr>
          <w:rFonts w:asciiTheme="minorHAnsi" w:hAnsiTheme="minorHAnsi"/>
          <w:sz w:val="22"/>
          <w:szCs w:val="22"/>
        </w:rPr>
        <w:t>uzrasta</w:t>
      </w:r>
      <w:proofErr w:type="spellEnd"/>
      <w:r w:rsidR="00470E4A" w:rsidRPr="00470E4A">
        <w:rPr>
          <w:rFonts w:asciiTheme="minorHAnsi" w:hAnsiTheme="minorHAnsi"/>
          <w:sz w:val="22"/>
          <w:szCs w:val="22"/>
        </w:rPr>
        <w:t xml:space="preserve"> </w:t>
      </w:r>
      <w:r w:rsidR="00C12EDD">
        <w:rPr>
          <w:rFonts w:asciiTheme="minorHAnsi" w:hAnsiTheme="minorHAnsi"/>
          <w:sz w:val="22"/>
          <w:szCs w:val="22"/>
        </w:rPr>
        <w:t>50</w:t>
      </w:r>
      <w:r w:rsidR="00470E4A" w:rsidRPr="00470E4A">
        <w:rPr>
          <w:rFonts w:asciiTheme="minorHAnsi" w:hAnsiTheme="minorHAnsi"/>
          <w:sz w:val="22"/>
          <w:szCs w:val="22"/>
        </w:rPr>
        <w:t xml:space="preserve">% </w:t>
      </w:r>
      <w:proofErr w:type="spellStart"/>
      <w:r w:rsidR="00470E4A" w:rsidRPr="00470E4A">
        <w:rPr>
          <w:rFonts w:asciiTheme="minorHAnsi" w:hAnsiTheme="minorHAnsi"/>
          <w:sz w:val="22"/>
          <w:szCs w:val="22"/>
        </w:rPr>
        <w:t>što</w:t>
      </w:r>
      <w:proofErr w:type="spellEnd"/>
      <w:r w:rsidR="00470E4A" w:rsidRPr="00470E4A">
        <w:rPr>
          <w:rFonts w:asciiTheme="minorHAnsi" w:hAnsiTheme="minorHAnsi"/>
          <w:sz w:val="22"/>
          <w:szCs w:val="22"/>
        </w:rPr>
        <w:t xml:space="preserve"> je </w:t>
      </w:r>
      <w:proofErr w:type="spellStart"/>
      <w:r w:rsidR="00C12EDD">
        <w:rPr>
          <w:rFonts w:asciiTheme="minorHAnsi" w:hAnsiTheme="minorHAnsi"/>
          <w:sz w:val="22"/>
          <w:szCs w:val="22"/>
        </w:rPr>
        <w:t>još</w:t>
      </w:r>
      <w:proofErr w:type="spellEnd"/>
      <w:r w:rsidR="00C12EDD">
        <w:rPr>
          <w:rFonts w:asciiTheme="minorHAnsi" w:hAnsiTheme="minorHAnsi"/>
          <w:sz w:val="22"/>
          <w:szCs w:val="22"/>
        </w:rPr>
        <w:t xml:space="preserve"> </w:t>
      </w:r>
      <w:proofErr w:type="spellStart"/>
      <w:r w:rsidR="00C12EDD">
        <w:rPr>
          <w:rFonts w:asciiTheme="minorHAnsi" w:hAnsiTheme="minorHAnsi"/>
          <w:sz w:val="22"/>
          <w:szCs w:val="22"/>
        </w:rPr>
        <w:t>uvek</w:t>
      </w:r>
      <w:proofErr w:type="spellEnd"/>
      <w:r w:rsidR="002C0507" w:rsidRPr="00470E4A">
        <w:rPr>
          <w:rFonts w:asciiTheme="minorHAnsi" w:hAnsiTheme="minorHAnsi"/>
          <w:sz w:val="22"/>
          <w:szCs w:val="22"/>
        </w:rPr>
        <w:t xml:space="preserve"> </w:t>
      </w:r>
      <w:proofErr w:type="spellStart"/>
      <w:r w:rsidR="002C0507" w:rsidRPr="00470E4A">
        <w:rPr>
          <w:rFonts w:asciiTheme="minorHAnsi" w:hAnsiTheme="minorHAnsi"/>
          <w:sz w:val="22"/>
          <w:szCs w:val="22"/>
        </w:rPr>
        <w:t>ni</w:t>
      </w:r>
      <w:r w:rsidR="00470E4A" w:rsidRPr="00470E4A">
        <w:rPr>
          <w:rFonts w:asciiTheme="minorHAnsi" w:hAnsiTheme="minorHAnsi"/>
          <w:sz w:val="22"/>
          <w:szCs w:val="22"/>
        </w:rPr>
        <w:t>sko</w:t>
      </w:r>
      <w:proofErr w:type="spellEnd"/>
      <w:r w:rsidR="00470E4A" w:rsidRPr="00470E4A">
        <w:rPr>
          <w:rFonts w:asciiTheme="minorHAnsi" w:hAnsiTheme="minorHAnsi"/>
          <w:sz w:val="22"/>
          <w:szCs w:val="22"/>
        </w:rPr>
        <w:t xml:space="preserve"> </w:t>
      </w:r>
      <w:r w:rsidR="00AE4086" w:rsidRPr="00470E4A">
        <w:rPr>
          <w:rFonts w:asciiTheme="minorHAnsi" w:hAnsiTheme="minorHAnsi"/>
          <w:sz w:val="22"/>
          <w:szCs w:val="22"/>
        </w:rPr>
        <w:t xml:space="preserve">u </w:t>
      </w:r>
      <w:proofErr w:type="spellStart"/>
      <w:r w:rsidR="002C0507" w:rsidRPr="00470E4A">
        <w:rPr>
          <w:rFonts w:asciiTheme="minorHAnsi" w:hAnsiTheme="minorHAnsi"/>
          <w:sz w:val="22"/>
          <w:szCs w:val="22"/>
        </w:rPr>
        <w:t>poređenju</w:t>
      </w:r>
      <w:proofErr w:type="spellEnd"/>
      <w:r w:rsidR="002C0507" w:rsidRPr="00470E4A">
        <w:rPr>
          <w:rFonts w:asciiTheme="minorHAnsi" w:hAnsiTheme="minorHAnsi"/>
          <w:sz w:val="22"/>
          <w:szCs w:val="22"/>
        </w:rPr>
        <w:t xml:space="preserve"> </w:t>
      </w:r>
      <w:proofErr w:type="spellStart"/>
      <w:r w:rsidR="002C0507" w:rsidRPr="00470E4A">
        <w:rPr>
          <w:rFonts w:asciiTheme="minorHAnsi" w:hAnsiTheme="minorHAnsi"/>
          <w:sz w:val="22"/>
          <w:szCs w:val="22"/>
        </w:rPr>
        <w:t>sa</w:t>
      </w:r>
      <w:proofErr w:type="spellEnd"/>
      <w:r w:rsidR="002C0507" w:rsidRPr="00470E4A">
        <w:rPr>
          <w:rFonts w:asciiTheme="minorHAnsi" w:hAnsiTheme="minorHAnsi"/>
          <w:sz w:val="22"/>
          <w:szCs w:val="22"/>
        </w:rPr>
        <w:t xml:space="preserve"> </w:t>
      </w:r>
      <w:proofErr w:type="spellStart"/>
      <w:r w:rsidR="002C0507" w:rsidRPr="00470E4A">
        <w:rPr>
          <w:rFonts w:asciiTheme="minorHAnsi" w:hAnsiTheme="minorHAnsi"/>
          <w:sz w:val="22"/>
          <w:szCs w:val="22"/>
        </w:rPr>
        <w:t>prosekom</w:t>
      </w:r>
      <w:proofErr w:type="spellEnd"/>
      <w:r w:rsidR="002C0507" w:rsidRPr="00470E4A">
        <w:rPr>
          <w:rFonts w:asciiTheme="minorHAnsi" w:hAnsiTheme="minorHAnsi"/>
          <w:sz w:val="22"/>
          <w:szCs w:val="22"/>
        </w:rPr>
        <w:t xml:space="preserve"> </w:t>
      </w:r>
      <w:proofErr w:type="spellStart"/>
      <w:r w:rsidR="002C0507" w:rsidRPr="00470E4A">
        <w:rPr>
          <w:rFonts w:asciiTheme="minorHAnsi" w:hAnsiTheme="minorHAnsi"/>
          <w:sz w:val="22"/>
          <w:szCs w:val="22"/>
        </w:rPr>
        <w:t>Srbije</w:t>
      </w:r>
      <w:proofErr w:type="spellEnd"/>
      <w:r w:rsidR="002C0507" w:rsidRPr="00470E4A">
        <w:rPr>
          <w:rFonts w:asciiTheme="minorHAnsi" w:hAnsiTheme="minorHAnsi"/>
          <w:sz w:val="22"/>
          <w:szCs w:val="22"/>
        </w:rPr>
        <w:t xml:space="preserve"> </w:t>
      </w:r>
      <w:r w:rsidR="00470E4A" w:rsidRPr="00470E4A">
        <w:rPr>
          <w:rFonts w:asciiTheme="minorHAnsi" w:hAnsiTheme="minorHAnsi"/>
          <w:sz w:val="22"/>
          <w:szCs w:val="22"/>
        </w:rPr>
        <w:t xml:space="preserve">od 25% </w:t>
      </w:r>
      <w:proofErr w:type="spellStart"/>
      <w:r w:rsidR="00470E4A" w:rsidRPr="00470E4A">
        <w:rPr>
          <w:rFonts w:asciiTheme="minorHAnsi" w:hAnsiTheme="minorHAnsi"/>
          <w:sz w:val="22"/>
          <w:szCs w:val="22"/>
        </w:rPr>
        <w:t>i</w:t>
      </w:r>
      <w:proofErr w:type="spellEnd"/>
      <w:r w:rsidR="00470E4A" w:rsidRPr="00470E4A">
        <w:rPr>
          <w:rFonts w:asciiTheme="minorHAnsi" w:hAnsiTheme="minorHAnsi"/>
          <w:sz w:val="22"/>
          <w:szCs w:val="22"/>
        </w:rPr>
        <w:t xml:space="preserve"> 60% </w:t>
      </w:r>
      <w:proofErr w:type="spellStart"/>
      <w:r w:rsidR="00470E4A" w:rsidRPr="00470E4A">
        <w:rPr>
          <w:rFonts w:asciiTheme="minorHAnsi" w:hAnsiTheme="minorHAnsi"/>
          <w:sz w:val="22"/>
          <w:szCs w:val="22"/>
        </w:rPr>
        <w:t>respektivno</w:t>
      </w:r>
      <w:proofErr w:type="spellEnd"/>
      <w:r w:rsidR="00C12EDD">
        <w:rPr>
          <w:rFonts w:asciiTheme="minorHAnsi" w:hAnsiTheme="minorHAnsi"/>
          <w:sz w:val="22"/>
          <w:szCs w:val="22"/>
        </w:rPr>
        <w:t xml:space="preserve"> a </w:t>
      </w:r>
      <w:proofErr w:type="spellStart"/>
      <w:r w:rsidR="00C12EDD">
        <w:rPr>
          <w:rFonts w:asciiTheme="minorHAnsi" w:hAnsiTheme="minorHAnsi"/>
          <w:sz w:val="22"/>
          <w:szCs w:val="22"/>
        </w:rPr>
        <w:t>posebno</w:t>
      </w:r>
      <w:proofErr w:type="spellEnd"/>
      <w:r w:rsidR="00C12EDD">
        <w:rPr>
          <w:rFonts w:asciiTheme="minorHAnsi" w:hAnsiTheme="minorHAnsi"/>
          <w:sz w:val="22"/>
          <w:szCs w:val="22"/>
        </w:rPr>
        <w:t xml:space="preserve"> u </w:t>
      </w:r>
      <w:proofErr w:type="spellStart"/>
      <w:r w:rsidR="00C12EDD">
        <w:rPr>
          <w:rFonts w:asciiTheme="minorHAnsi" w:hAnsiTheme="minorHAnsi"/>
          <w:sz w:val="22"/>
          <w:szCs w:val="22"/>
        </w:rPr>
        <w:t>poređenju</w:t>
      </w:r>
      <w:proofErr w:type="spellEnd"/>
      <w:r w:rsidR="00C12EDD">
        <w:rPr>
          <w:rFonts w:asciiTheme="minorHAnsi" w:hAnsiTheme="minorHAnsi"/>
          <w:sz w:val="22"/>
          <w:szCs w:val="22"/>
        </w:rPr>
        <w:t xml:space="preserve"> </w:t>
      </w:r>
      <w:proofErr w:type="spellStart"/>
      <w:r w:rsidR="00C12EDD">
        <w:rPr>
          <w:rFonts w:asciiTheme="minorHAnsi" w:hAnsiTheme="minorHAnsi"/>
          <w:sz w:val="22"/>
          <w:szCs w:val="22"/>
        </w:rPr>
        <w:t>sa</w:t>
      </w:r>
      <w:proofErr w:type="spellEnd"/>
      <w:r w:rsidR="00C12EDD">
        <w:rPr>
          <w:rFonts w:asciiTheme="minorHAnsi" w:hAnsiTheme="minorHAnsi"/>
          <w:sz w:val="22"/>
          <w:szCs w:val="22"/>
        </w:rPr>
        <w:t xml:space="preserve"> </w:t>
      </w:r>
      <w:proofErr w:type="spellStart"/>
      <w:r w:rsidR="00C12EDD">
        <w:rPr>
          <w:rFonts w:asciiTheme="minorHAnsi" w:hAnsiTheme="minorHAnsi"/>
          <w:sz w:val="22"/>
          <w:szCs w:val="22"/>
        </w:rPr>
        <w:t>Južnob</w:t>
      </w:r>
      <w:r w:rsidR="00604ACF">
        <w:rPr>
          <w:rFonts w:asciiTheme="minorHAnsi" w:hAnsiTheme="minorHAnsi"/>
          <w:sz w:val="22"/>
          <w:szCs w:val="22"/>
        </w:rPr>
        <w:t>ačkom</w:t>
      </w:r>
      <w:proofErr w:type="spellEnd"/>
      <w:r w:rsidR="00C12EDD">
        <w:rPr>
          <w:rFonts w:asciiTheme="minorHAnsi" w:hAnsiTheme="minorHAnsi"/>
          <w:sz w:val="22"/>
          <w:szCs w:val="22"/>
        </w:rPr>
        <w:t xml:space="preserve"> </w:t>
      </w:r>
      <w:proofErr w:type="spellStart"/>
      <w:r w:rsidR="00C12EDD">
        <w:rPr>
          <w:rFonts w:asciiTheme="minorHAnsi" w:hAnsiTheme="minorHAnsi"/>
          <w:sz w:val="22"/>
          <w:szCs w:val="22"/>
        </w:rPr>
        <w:t>oblašću</w:t>
      </w:r>
      <w:proofErr w:type="spellEnd"/>
      <w:r w:rsidR="00C12EDD">
        <w:rPr>
          <w:rFonts w:asciiTheme="minorHAnsi" w:hAnsiTheme="minorHAnsi"/>
          <w:sz w:val="22"/>
          <w:szCs w:val="22"/>
        </w:rPr>
        <w:t xml:space="preserve"> </w:t>
      </w:r>
      <w:proofErr w:type="spellStart"/>
      <w:r w:rsidR="00C12EDD">
        <w:rPr>
          <w:rFonts w:asciiTheme="minorHAnsi" w:hAnsiTheme="minorHAnsi"/>
          <w:sz w:val="22"/>
          <w:szCs w:val="22"/>
        </w:rPr>
        <w:t>gde</w:t>
      </w:r>
      <w:proofErr w:type="spellEnd"/>
      <w:r w:rsidR="00C12EDD">
        <w:rPr>
          <w:rFonts w:asciiTheme="minorHAnsi" w:hAnsiTheme="minorHAnsi"/>
          <w:sz w:val="22"/>
          <w:szCs w:val="22"/>
        </w:rPr>
        <w:t xml:space="preserve"> </w:t>
      </w:r>
      <w:proofErr w:type="spellStart"/>
      <w:r w:rsidR="00C12EDD">
        <w:rPr>
          <w:rFonts w:asciiTheme="minorHAnsi" w:hAnsiTheme="minorHAnsi"/>
          <w:sz w:val="22"/>
          <w:szCs w:val="22"/>
        </w:rPr>
        <w:t>Bač</w:t>
      </w:r>
      <w:proofErr w:type="spellEnd"/>
      <w:r w:rsidR="00C12EDD">
        <w:rPr>
          <w:rFonts w:asciiTheme="minorHAnsi" w:hAnsiTheme="minorHAnsi"/>
          <w:sz w:val="22"/>
          <w:szCs w:val="22"/>
        </w:rPr>
        <w:t xml:space="preserve"> </w:t>
      </w:r>
      <w:proofErr w:type="spellStart"/>
      <w:r w:rsidR="00C12EDD">
        <w:rPr>
          <w:rFonts w:asciiTheme="minorHAnsi" w:hAnsiTheme="minorHAnsi"/>
          <w:sz w:val="22"/>
          <w:szCs w:val="22"/>
        </w:rPr>
        <w:t>priprada</w:t>
      </w:r>
      <w:proofErr w:type="spellEnd"/>
      <w:r w:rsidR="00C12EDD">
        <w:rPr>
          <w:rFonts w:asciiTheme="minorHAnsi" w:hAnsiTheme="minorHAnsi"/>
          <w:sz w:val="22"/>
          <w:szCs w:val="22"/>
        </w:rPr>
        <w:t xml:space="preserve"> </w:t>
      </w:r>
      <w:proofErr w:type="spellStart"/>
      <w:r w:rsidR="00C12EDD">
        <w:rPr>
          <w:rFonts w:asciiTheme="minorHAnsi" w:hAnsiTheme="minorHAnsi"/>
          <w:sz w:val="22"/>
          <w:szCs w:val="22"/>
        </w:rPr>
        <w:t>i</w:t>
      </w:r>
      <w:proofErr w:type="spellEnd"/>
      <w:r w:rsidR="00C12EDD">
        <w:rPr>
          <w:rFonts w:asciiTheme="minorHAnsi" w:hAnsiTheme="minorHAnsi"/>
          <w:sz w:val="22"/>
          <w:szCs w:val="22"/>
        </w:rPr>
        <w:t xml:space="preserve"> </w:t>
      </w:r>
      <w:proofErr w:type="spellStart"/>
      <w:r w:rsidR="00C12EDD">
        <w:rPr>
          <w:rFonts w:asciiTheme="minorHAnsi" w:hAnsiTheme="minorHAnsi"/>
          <w:sz w:val="22"/>
          <w:szCs w:val="22"/>
        </w:rPr>
        <w:t>gde</w:t>
      </w:r>
      <w:proofErr w:type="spellEnd"/>
      <w:r w:rsidR="00C12EDD">
        <w:rPr>
          <w:rFonts w:asciiTheme="minorHAnsi" w:hAnsiTheme="minorHAnsi"/>
          <w:sz w:val="22"/>
          <w:szCs w:val="22"/>
        </w:rPr>
        <w:t xml:space="preserve"> je </w:t>
      </w:r>
      <w:proofErr w:type="spellStart"/>
      <w:r w:rsidR="00C12EDD">
        <w:rPr>
          <w:rFonts w:asciiTheme="minorHAnsi" w:hAnsiTheme="minorHAnsi"/>
          <w:sz w:val="22"/>
          <w:szCs w:val="22"/>
        </w:rPr>
        <w:t>obuhvat</w:t>
      </w:r>
      <w:proofErr w:type="spellEnd"/>
      <w:r w:rsidR="00C12EDD">
        <w:rPr>
          <w:rFonts w:asciiTheme="minorHAnsi" w:hAnsiTheme="minorHAnsi"/>
          <w:sz w:val="22"/>
          <w:szCs w:val="22"/>
        </w:rPr>
        <w:t xml:space="preserve"> </w:t>
      </w:r>
      <w:proofErr w:type="spellStart"/>
      <w:r w:rsidR="00C12EDD">
        <w:rPr>
          <w:rFonts w:asciiTheme="minorHAnsi" w:hAnsiTheme="minorHAnsi"/>
          <w:sz w:val="22"/>
          <w:szCs w:val="22"/>
        </w:rPr>
        <w:t>dece</w:t>
      </w:r>
      <w:proofErr w:type="spellEnd"/>
      <w:r w:rsidR="00C12EDD">
        <w:rPr>
          <w:rFonts w:asciiTheme="minorHAnsi" w:hAnsiTheme="minorHAnsi"/>
          <w:sz w:val="22"/>
          <w:szCs w:val="22"/>
        </w:rPr>
        <w:t xml:space="preserve"> PVO </w:t>
      </w:r>
      <w:proofErr w:type="spellStart"/>
      <w:r w:rsidR="00C12EDD">
        <w:rPr>
          <w:rFonts w:asciiTheme="minorHAnsi" w:hAnsiTheme="minorHAnsi"/>
          <w:sz w:val="22"/>
          <w:szCs w:val="22"/>
        </w:rPr>
        <w:t>izuzetno</w:t>
      </w:r>
      <w:proofErr w:type="spellEnd"/>
      <w:r w:rsidR="00C12EDD">
        <w:rPr>
          <w:rFonts w:asciiTheme="minorHAnsi" w:hAnsiTheme="minorHAnsi"/>
          <w:sz w:val="22"/>
          <w:szCs w:val="22"/>
        </w:rPr>
        <w:t xml:space="preserve"> </w:t>
      </w:r>
      <w:proofErr w:type="spellStart"/>
      <w:r w:rsidR="00C12EDD">
        <w:rPr>
          <w:rFonts w:asciiTheme="minorHAnsi" w:hAnsiTheme="minorHAnsi"/>
          <w:sz w:val="22"/>
          <w:szCs w:val="22"/>
        </w:rPr>
        <w:t>visok</w:t>
      </w:r>
      <w:proofErr w:type="spellEnd"/>
      <w:r w:rsidR="00C12EDD">
        <w:rPr>
          <w:rFonts w:asciiTheme="minorHAnsi" w:hAnsiTheme="minorHAnsi"/>
          <w:sz w:val="22"/>
          <w:szCs w:val="22"/>
        </w:rPr>
        <w:t xml:space="preserve"> – </w:t>
      </w:r>
      <w:proofErr w:type="spellStart"/>
      <w:r w:rsidR="00C12EDD">
        <w:rPr>
          <w:rFonts w:asciiTheme="minorHAnsi" w:hAnsiTheme="minorHAnsi"/>
          <w:sz w:val="22"/>
          <w:szCs w:val="22"/>
        </w:rPr>
        <w:t>preko</w:t>
      </w:r>
      <w:proofErr w:type="spellEnd"/>
      <w:r w:rsidR="00C12EDD">
        <w:rPr>
          <w:rFonts w:asciiTheme="minorHAnsi" w:hAnsiTheme="minorHAnsi"/>
          <w:sz w:val="22"/>
          <w:szCs w:val="22"/>
        </w:rPr>
        <w:t xml:space="preserve"> 30% za </w:t>
      </w:r>
      <w:proofErr w:type="spellStart"/>
      <w:r w:rsidR="00C12EDD">
        <w:rPr>
          <w:rFonts w:asciiTheme="minorHAnsi" w:hAnsiTheme="minorHAnsi"/>
          <w:sz w:val="22"/>
          <w:szCs w:val="22"/>
        </w:rPr>
        <w:t>jasleni</w:t>
      </w:r>
      <w:proofErr w:type="spellEnd"/>
      <w:r w:rsidR="00C12EDD">
        <w:rPr>
          <w:rFonts w:asciiTheme="minorHAnsi" w:hAnsiTheme="minorHAnsi"/>
          <w:sz w:val="22"/>
          <w:szCs w:val="22"/>
        </w:rPr>
        <w:t xml:space="preserve"> </w:t>
      </w:r>
      <w:proofErr w:type="spellStart"/>
      <w:r w:rsidR="00C12EDD">
        <w:rPr>
          <w:rFonts w:asciiTheme="minorHAnsi" w:hAnsiTheme="minorHAnsi"/>
          <w:sz w:val="22"/>
          <w:szCs w:val="22"/>
        </w:rPr>
        <w:t>i</w:t>
      </w:r>
      <w:proofErr w:type="spellEnd"/>
      <w:r w:rsidR="00C12EDD">
        <w:rPr>
          <w:rFonts w:asciiTheme="minorHAnsi" w:hAnsiTheme="minorHAnsi"/>
          <w:sz w:val="22"/>
          <w:szCs w:val="22"/>
        </w:rPr>
        <w:t xml:space="preserve"> </w:t>
      </w:r>
      <w:proofErr w:type="spellStart"/>
      <w:r w:rsidR="00C12EDD">
        <w:rPr>
          <w:rFonts w:asciiTheme="minorHAnsi" w:hAnsiTheme="minorHAnsi"/>
          <w:sz w:val="22"/>
          <w:szCs w:val="22"/>
        </w:rPr>
        <w:t>preko</w:t>
      </w:r>
      <w:proofErr w:type="spellEnd"/>
      <w:r w:rsidR="00C12EDD">
        <w:rPr>
          <w:rFonts w:asciiTheme="minorHAnsi" w:hAnsiTheme="minorHAnsi"/>
          <w:sz w:val="22"/>
          <w:szCs w:val="22"/>
        </w:rPr>
        <w:t xml:space="preserve"> 70% za </w:t>
      </w:r>
      <w:proofErr w:type="spellStart"/>
      <w:r w:rsidR="00C12EDD">
        <w:rPr>
          <w:rFonts w:asciiTheme="minorHAnsi" w:hAnsiTheme="minorHAnsi"/>
          <w:sz w:val="22"/>
          <w:szCs w:val="22"/>
        </w:rPr>
        <w:t>vrtićki</w:t>
      </w:r>
      <w:proofErr w:type="spellEnd"/>
      <w:r w:rsidR="00C12EDD">
        <w:rPr>
          <w:rFonts w:asciiTheme="minorHAnsi" w:hAnsiTheme="minorHAnsi"/>
          <w:sz w:val="22"/>
          <w:szCs w:val="22"/>
        </w:rPr>
        <w:t xml:space="preserve"> </w:t>
      </w:r>
      <w:proofErr w:type="spellStart"/>
      <w:r w:rsidR="00C12EDD">
        <w:rPr>
          <w:rFonts w:asciiTheme="minorHAnsi" w:hAnsiTheme="minorHAnsi"/>
          <w:sz w:val="22"/>
          <w:szCs w:val="22"/>
        </w:rPr>
        <w:t>uzrast</w:t>
      </w:r>
      <w:proofErr w:type="spellEnd"/>
      <w:r w:rsidR="003E2766">
        <w:rPr>
          <w:rFonts w:asciiTheme="minorHAnsi" w:hAnsiTheme="minorHAnsi"/>
          <w:sz w:val="22"/>
          <w:szCs w:val="22"/>
        </w:rPr>
        <w:t xml:space="preserve"> </w:t>
      </w:r>
      <w:r w:rsidR="003E2766" w:rsidRPr="003E2766">
        <w:rPr>
          <w:rFonts w:asciiTheme="minorHAnsi" w:hAnsiTheme="minorHAnsi"/>
          <w:i/>
          <w:sz w:val="22"/>
          <w:szCs w:val="22"/>
        </w:rPr>
        <w:t>(</w:t>
      </w:r>
      <w:proofErr w:type="spellStart"/>
      <w:r w:rsidR="003E2766" w:rsidRPr="003E2766">
        <w:rPr>
          <w:rFonts w:asciiTheme="minorHAnsi" w:hAnsiTheme="minorHAnsi"/>
          <w:i/>
          <w:sz w:val="22"/>
          <w:szCs w:val="22"/>
        </w:rPr>
        <w:t>Grafikon</w:t>
      </w:r>
      <w:proofErr w:type="spellEnd"/>
      <w:r w:rsidR="003E2766" w:rsidRPr="003E2766">
        <w:rPr>
          <w:rFonts w:asciiTheme="minorHAnsi" w:hAnsiTheme="minorHAnsi"/>
          <w:i/>
          <w:sz w:val="22"/>
          <w:szCs w:val="22"/>
        </w:rPr>
        <w:t xml:space="preserve"> 2.)</w:t>
      </w:r>
      <w:r w:rsidR="00C12EDD" w:rsidRPr="003E2766">
        <w:rPr>
          <w:rFonts w:asciiTheme="minorHAnsi" w:hAnsiTheme="minorHAnsi"/>
          <w:i/>
          <w:sz w:val="22"/>
          <w:szCs w:val="22"/>
        </w:rPr>
        <w:t>.</w:t>
      </w:r>
      <w:r w:rsidR="00C12EDD">
        <w:rPr>
          <w:rFonts w:asciiTheme="minorHAnsi" w:hAnsiTheme="minorHAnsi"/>
          <w:sz w:val="22"/>
          <w:szCs w:val="22"/>
        </w:rPr>
        <w:t xml:space="preserve"> </w:t>
      </w:r>
      <w:r w:rsidR="00AE4086" w:rsidRPr="00470E4A">
        <w:rPr>
          <w:rFonts w:asciiTheme="minorHAnsi" w:hAnsiTheme="minorHAnsi"/>
          <w:sz w:val="22"/>
          <w:szCs w:val="22"/>
        </w:rPr>
        <w:t xml:space="preserve"> </w:t>
      </w:r>
    </w:p>
    <w:p w14:paraId="174C6DAA" w14:textId="6A17E3FA" w:rsidR="00B3089C" w:rsidRDefault="00B3089C" w:rsidP="00DB5D24">
      <w:pPr>
        <w:jc w:val="both"/>
        <w:rPr>
          <w:rFonts w:asciiTheme="minorHAnsi" w:hAnsiTheme="minorHAnsi"/>
          <w:sz w:val="22"/>
          <w:szCs w:val="22"/>
        </w:rPr>
      </w:pPr>
    </w:p>
    <w:p w14:paraId="6767A5DD" w14:textId="77777777" w:rsidR="00F31D38" w:rsidRDefault="00F31D38" w:rsidP="00DB5D24">
      <w:pPr>
        <w:rPr>
          <w:rFonts w:ascii="Cambria" w:hAnsi="Cambria"/>
          <w:b/>
          <w:sz w:val="22"/>
          <w:szCs w:val="22"/>
        </w:rPr>
      </w:pPr>
    </w:p>
    <w:p w14:paraId="5AB35BD3" w14:textId="77777777" w:rsidR="005B1322" w:rsidRDefault="005B1322" w:rsidP="00E92B30">
      <w:pPr>
        <w:spacing w:after="120"/>
        <w:rPr>
          <w:rFonts w:ascii="Cambria" w:hAnsi="Cambria"/>
          <w:b/>
          <w:sz w:val="22"/>
          <w:szCs w:val="22"/>
        </w:rPr>
      </w:pPr>
    </w:p>
    <w:p w14:paraId="1C7D02E7" w14:textId="77777777" w:rsidR="005B1322" w:rsidRDefault="005B1322" w:rsidP="00E92B30">
      <w:pPr>
        <w:spacing w:after="120"/>
        <w:rPr>
          <w:rFonts w:ascii="Cambria" w:hAnsi="Cambria"/>
          <w:b/>
          <w:sz w:val="22"/>
          <w:szCs w:val="22"/>
        </w:rPr>
      </w:pPr>
    </w:p>
    <w:p w14:paraId="28910C41" w14:textId="4A788587" w:rsidR="005B1322" w:rsidRDefault="005B1322" w:rsidP="00E92B30">
      <w:pPr>
        <w:spacing w:after="120"/>
        <w:rPr>
          <w:rFonts w:ascii="Cambria" w:hAnsi="Cambria"/>
          <w:b/>
          <w:sz w:val="22"/>
          <w:szCs w:val="22"/>
        </w:rPr>
      </w:pPr>
    </w:p>
    <w:p w14:paraId="0CA76D74" w14:textId="77777777" w:rsidR="003E2766" w:rsidRDefault="003E2766" w:rsidP="00E92B30">
      <w:pPr>
        <w:spacing w:after="120"/>
        <w:rPr>
          <w:rFonts w:ascii="Cambria" w:hAnsi="Cambria"/>
          <w:b/>
          <w:sz w:val="22"/>
          <w:szCs w:val="22"/>
        </w:rPr>
      </w:pPr>
    </w:p>
    <w:p w14:paraId="6FD509CB" w14:textId="77777777" w:rsidR="005B1322" w:rsidRDefault="005B1322" w:rsidP="00E92B30">
      <w:pPr>
        <w:spacing w:after="120"/>
        <w:rPr>
          <w:rFonts w:ascii="Cambria" w:hAnsi="Cambria"/>
          <w:b/>
          <w:sz w:val="22"/>
          <w:szCs w:val="22"/>
        </w:rPr>
      </w:pPr>
    </w:p>
    <w:p w14:paraId="3BE21E3D" w14:textId="2C08FCC0" w:rsidR="001612C1" w:rsidRDefault="00DB5D24" w:rsidP="00E92B30">
      <w:pPr>
        <w:spacing w:after="120"/>
        <w:rPr>
          <w:rFonts w:ascii="Cambria" w:hAnsi="Cambria"/>
          <w:b/>
          <w:sz w:val="22"/>
          <w:szCs w:val="22"/>
        </w:rPr>
      </w:pPr>
      <w:proofErr w:type="spellStart"/>
      <w:r w:rsidRPr="009172FD">
        <w:rPr>
          <w:rFonts w:ascii="Cambria" w:hAnsi="Cambria"/>
          <w:b/>
          <w:sz w:val="22"/>
          <w:szCs w:val="22"/>
        </w:rPr>
        <w:lastRenderedPageBreak/>
        <w:t>Grafikon</w:t>
      </w:r>
      <w:proofErr w:type="spellEnd"/>
      <w:r w:rsidRPr="009172FD">
        <w:rPr>
          <w:rFonts w:ascii="Cambria" w:hAnsi="Cambria"/>
          <w:b/>
          <w:sz w:val="22"/>
          <w:szCs w:val="22"/>
        </w:rPr>
        <w:t xml:space="preserve"> </w:t>
      </w:r>
      <w:r w:rsidR="00E92B30">
        <w:rPr>
          <w:rFonts w:ascii="Cambria" w:hAnsi="Cambria"/>
          <w:b/>
          <w:sz w:val="22"/>
          <w:szCs w:val="22"/>
        </w:rPr>
        <w:t>2</w:t>
      </w:r>
      <w:r w:rsidRPr="009172FD">
        <w:rPr>
          <w:rFonts w:ascii="Cambria" w:hAnsi="Cambria"/>
          <w:b/>
          <w:sz w:val="22"/>
          <w:szCs w:val="22"/>
        </w:rPr>
        <w:t xml:space="preserve">. </w:t>
      </w:r>
      <w:proofErr w:type="spellStart"/>
      <w:r w:rsidRPr="009172FD">
        <w:rPr>
          <w:rFonts w:ascii="Cambria" w:hAnsi="Cambria"/>
          <w:b/>
          <w:sz w:val="22"/>
          <w:szCs w:val="22"/>
        </w:rPr>
        <w:t>Obuhvat</w:t>
      </w:r>
      <w:proofErr w:type="spellEnd"/>
      <w:r w:rsidRPr="009172FD">
        <w:rPr>
          <w:rFonts w:ascii="Cambria" w:hAnsi="Cambria"/>
          <w:b/>
          <w:sz w:val="22"/>
          <w:szCs w:val="22"/>
        </w:rPr>
        <w:t xml:space="preserve"> </w:t>
      </w:r>
      <w:proofErr w:type="spellStart"/>
      <w:r w:rsidRPr="009172FD">
        <w:rPr>
          <w:rFonts w:ascii="Cambria" w:hAnsi="Cambria"/>
          <w:b/>
          <w:sz w:val="22"/>
          <w:szCs w:val="22"/>
        </w:rPr>
        <w:t>dece</w:t>
      </w:r>
      <w:proofErr w:type="spellEnd"/>
      <w:r w:rsidRPr="009172FD">
        <w:rPr>
          <w:rFonts w:ascii="Cambria" w:hAnsi="Cambria"/>
          <w:b/>
          <w:sz w:val="22"/>
          <w:szCs w:val="22"/>
        </w:rPr>
        <w:t xml:space="preserve"> POV (%), </w:t>
      </w:r>
      <w:proofErr w:type="spellStart"/>
      <w:r w:rsidR="00A05549">
        <w:rPr>
          <w:rFonts w:ascii="Cambria" w:hAnsi="Cambria"/>
          <w:b/>
          <w:sz w:val="22"/>
          <w:szCs w:val="22"/>
        </w:rPr>
        <w:t>prosek</w:t>
      </w:r>
      <w:proofErr w:type="spellEnd"/>
      <w:r w:rsidR="00A05549">
        <w:rPr>
          <w:rFonts w:ascii="Cambria" w:hAnsi="Cambria"/>
          <w:b/>
          <w:sz w:val="22"/>
          <w:szCs w:val="22"/>
        </w:rPr>
        <w:t xml:space="preserve"> 2015-2019</w:t>
      </w:r>
    </w:p>
    <w:p w14:paraId="676242E3" w14:textId="32AE5C72" w:rsidR="00DB5D24" w:rsidRPr="00E92B30" w:rsidRDefault="00F00F78" w:rsidP="00DB5D24">
      <w:pPr>
        <w:rPr>
          <w:rFonts w:ascii="Cambria" w:hAnsi="Cambria"/>
          <w:b/>
          <w:sz w:val="22"/>
          <w:szCs w:val="22"/>
        </w:rPr>
      </w:pPr>
      <w:r>
        <w:rPr>
          <w:noProof/>
        </w:rPr>
        <w:drawing>
          <wp:inline distT="0" distB="0" distL="0" distR="0" wp14:anchorId="661D4B4B" wp14:editId="0CDE59D6">
            <wp:extent cx="4584700" cy="275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84700" cy="2755900"/>
                    </a:xfrm>
                    <a:prstGeom prst="rect">
                      <a:avLst/>
                    </a:prstGeom>
                  </pic:spPr>
                </pic:pic>
              </a:graphicData>
            </a:graphic>
          </wp:inline>
        </w:drawing>
      </w:r>
    </w:p>
    <w:p w14:paraId="3FACE019" w14:textId="26837D4B" w:rsidR="00DB5D24" w:rsidRDefault="00DB5D24" w:rsidP="00E92B30">
      <w:pPr>
        <w:spacing w:before="60"/>
        <w:rPr>
          <w:rFonts w:asciiTheme="minorHAnsi" w:hAnsiTheme="minorHAnsi"/>
          <w:sz w:val="18"/>
          <w:szCs w:val="18"/>
        </w:rPr>
      </w:pPr>
      <w:proofErr w:type="spellStart"/>
      <w:r w:rsidRPr="002D6D78">
        <w:rPr>
          <w:rFonts w:asciiTheme="minorHAnsi" w:hAnsiTheme="minorHAnsi"/>
          <w:sz w:val="18"/>
          <w:szCs w:val="18"/>
        </w:rPr>
        <w:t>Izvor</w:t>
      </w:r>
      <w:proofErr w:type="spellEnd"/>
      <w:r w:rsidRPr="002D6D78">
        <w:rPr>
          <w:rFonts w:asciiTheme="minorHAnsi" w:hAnsiTheme="minorHAnsi"/>
          <w:sz w:val="18"/>
          <w:szCs w:val="18"/>
        </w:rPr>
        <w:t xml:space="preserve">: </w:t>
      </w:r>
      <w:proofErr w:type="spellStart"/>
      <w:r w:rsidRPr="002D6D78">
        <w:rPr>
          <w:rFonts w:asciiTheme="minorHAnsi" w:hAnsiTheme="minorHAnsi"/>
          <w:sz w:val="18"/>
          <w:szCs w:val="18"/>
        </w:rPr>
        <w:t>Devinfo</w:t>
      </w:r>
      <w:proofErr w:type="spellEnd"/>
      <w:r w:rsidRPr="002D6D78">
        <w:rPr>
          <w:rFonts w:asciiTheme="minorHAnsi" w:hAnsiTheme="minorHAnsi"/>
          <w:sz w:val="18"/>
          <w:szCs w:val="18"/>
        </w:rPr>
        <w:t xml:space="preserve"> </w:t>
      </w:r>
      <w:proofErr w:type="spellStart"/>
      <w:r w:rsidRPr="002D6D78">
        <w:rPr>
          <w:rFonts w:asciiTheme="minorHAnsi" w:hAnsiTheme="minorHAnsi"/>
          <w:sz w:val="18"/>
          <w:szCs w:val="18"/>
        </w:rPr>
        <w:t>baza</w:t>
      </w:r>
      <w:proofErr w:type="spellEnd"/>
      <w:r w:rsidRPr="002D6D78">
        <w:rPr>
          <w:rFonts w:asciiTheme="minorHAnsi" w:hAnsiTheme="minorHAnsi"/>
          <w:sz w:val="18"/>
          <w:szCs w:val="18"/>
        </w:rPr>
        <w:t xml:space="preserve"> </w:t>
      </w:r>
      <w:r w:rsidR="002C0507">
        <w:rPr>
          <w:rFonts w:asciiTheme="minorHAnsi" w:hAnsiTheme="minorHAnsi"/>
          <w:sz w:val="18"/>
          <w:szCs w:val="18"/>
        </w:rPr>
        <w:t>(</w:t>
      </w:r>
      <w:proofErr w:type="spellStart"/>
      <w:r w:rsidR="002C0507">
        <w:rPr>
          <w:rFonts w:asciiTheme="minorHAnsi" w:hAnsiTheme="minorHAnsi"/>
          <w:sz w:val="18"/>
          <w:szCs w:val="18"/>
        </w:rPr>
        <w:t>petogodišnji</w:t>
      </w:r>
      <w:proofErr w:type="spellEnd"/>
      <w:r w:rsidR="002C0507">
        <w:rPr>
          <w:rFonts w:asciiTheme="minorHAnsi" w:hAnsiTheme="minorHAnsi"/>
          <w:sz w:val="18"/>
          <w:szCs w:val="18"/>
        </w:rPr>
        <w:t xml:space="preserve"> </w:t>
      </w:r>
      <w:proofErr w:type="spellStart"/>
      <w:r w:rsidR="002C0507">
        <w:rPr>
          <w:rFonts w:asciiTheme="minorHAnsi" w:hAnsiTheme="minorHAnsi"/>
          <w:sz w:val="18"/>
          <w:szCs w:val="18"/>
        </w:rPr>
        <w:t>prosek</w:t>
      </w:r>
      <w:proofErr w:type="spellEnd"/>
      <w:r w:rsidR="002C0507">
        <w:rPr>
          <w:rFonts w:asciiTheme="minorHAnsi" w:hAnsiTheme="minorHAnsi"/>
          <w:sz w:val="18"/>
          <w:szCs w:val="18"/>
        </w:rPr>
        <w:t xml:space="preserve"> </w:t>
      </w:r>
      <w:proofErr w:type="spellStart"/>
      <w:r w:rsidR="002C0507">
        <w:rPr>
          <w:rFonts w:asciiTheme="minorHAnsi" w:hAnsiTheme="minorHAnsi"/>
          <w:sz w:val="18"/>
          <w:szCs w:val="18"/>
        </w:rPr>
        <w:t>kalkulacija</w:t>
      </w:r>
      <w:proofErr w:type="spellEnd"/>
      <w:r w:rsidR="002C0507">
        <w:rPr>
          <w:rFonts w:asciiTheme="minorHAnsi" w:hAnsiTheme="minorHAnsi"/>
          <w:sz w:val="18"/>
          <w:szCs w:val="18"/>
        </w:rPr>
        <w:t xml:space="preserve"> </w:t>
      </w:r>
      <w:proofErr w:type="spellStart"/>
      <w:r w:rsidR="002C0507">
        <w:rPr>
          <w:rFonts w:asciiTheme="minorHAnsi" w:hAnsiTheme="minorHAnsi"/>
          <w:sz w:val="18"/>
          <w:szCs w:val="18"/>
        </w:rPr>
        <w:t>autora</w:t>
      </w:r>
      <w:proofErr w:type="spellEnd"/>
      <w:r w:rsidR="002C0507">
        <w:rPr>
          <w:rFonts w:asciiTheme="minorHAnsi" w:hAnsiTheme="minorHAnsi"/>
          <w:sz w:val="18"/>
          <w:szCs w:val="18"/>
        </w:rPr>
        <w:t>)</w:t>
      </w:r>
    </w:p>
    <w:p w14:paraId="270A545A" w14:textId="5252CA0D" w:rsidR="001612C1" w:rsidRDefault="001612C1" w:rsidP="00DB5D24">
      <w:pPr>
        <w:rPr>
          <w:rFonts w:asciiTheme="minorHAnsi" w:hAnsiTheme="minorHAnsi"/>
          <w:sz w:val="18"/>
          <w:szCs w:val="18"/>
        </w:rPr>
      </w:pPr>
    </w:p>
    <w:p w14:paraId="66A34A10" w14:textId="77777777" w:rsidR="002C0507" w:rsidRPr="002D6D78" w:rsidRDefault="002C0507" w:rsidP="00DB5D24">
      <w:pPr>
        <w:rPr>
          <w:rFonts w:asciiTheme="minorHAnsi" w:hAnsiTheme="minorHAnsi"/>
          <w:sz w:val="18"/>
          <w:szCs w:val="18"/>
        </w:rPr>
      </w:pPr>
    </w:p>
    <w:p w14:paraId="661DEC8E" w14:textId="77777777" w:rsidR="00DB5D24" w:rsidRPr="002D6D78" w:rsidRDefault="00DB5D24" w:rsidP="00DB5D24">
      <w:pPr>
        <w:jc w:val="both"/>
        <w:rPr>
          <w:rFonts w:asciiTheme="minorHAnsi" w:hAnsiTheme="minorHAnsi"/>
          <w:sz w:val="22"/>
          <w:szCs w:val="22"/>
        </w:rPr>
      </w:pPr>
    </w:p>
    <w:p w14:paraId="2508FCBF" w14:textId="3FEF3D49" w:rsidR="00DB5D24" w:rsidRPr="002C0609" w:rsidRDefault="0034299C" w:rsidP="00DB5D24">
      <w:pPr>
        <w:pBdr>
          <w:top w:val="single" w:sz="4" w:space="1" w:color="auto" w:shadow="1"/>
          <w:left w:val="single" w:sz="4" w:space="0" w:color="auto" w:shadow="1"/>
          <w:bottom w:val="single" w:sz="4" w:space="1" w:color="auto" w:shadow="1"/>
          <w:right w:val="single" w:sz="4" w:space="0" w:color="auto" w:shadow="1"/>
        </w:pBdr>
        <w:spacing w:after="120"/>
        <w:jc w:val="both"/>
        <w:textAlignment w:val="center"/>
        <w:rPr>
          <w:rFonts w:asciiTheme="minorHAnsi" w:hAnsiTheme="minorHAnsi"/>
          <w:b/>
          <w:smallCaps/>
          <w:color w:val="000000" w:themeColor="text1"/>
          <w:sz w:val="20"/>
          <w:szCs w:val="20"/>
        </w:rPr>
      </w:pPr>
      <w:proofErr w:type="spellStart"/>
      <w:r w:rsidRPr="002C0609">
        <w:rPr>
          <w:rFonts w:asciiTheme="minorHAnsi" w:hAnsiTheme="minorHAnsi"/>
          <w:b/>
          <w:smallCaps/>
          <w:color w:val="000000" w:themeColor="text1"/>
          <w:sz w:val="20"/>
          <w:szCs w:val="20"/>
        </w:rPr>
        <w:t>Okvir</w:t>
      </w:r>
      <w:proofErr w:type="spellEnd"/>
      <w:r w:rsidR="00DB5D24" w:rsidRPr="002C0609">
        <w:rPr>
          <w:rFonts w:asciiTheme="minorHAnsi" w:hAnsiTheme="minorHAnsi"/>
          <w:b/>
          <w:smallCaps/>
          <w:color w:val="000000" w:themeColor="text1"/>
          <w:sz w:val="20"/>
          <w:szCs w:val="20"/>
        </w:rPr>
        <w:t xml:space="preserve"> </w:t>
      </w:r>
      <w:r w:rsidR="000534A5" w:rsidRPr="002C0609">
        <w:rPr>
          <w:rFonts w:asciiTheme="minorHAnsi" w:hAnsiTheme="minorHAnsi"/>
          <w:b/>
          <w:smallCaps/>
          <w:color w:val="000000" w:themeColor="text1"/>
          <w:sz w:val="20"/>
          <w:szCs w:val="20"/>
        </w:rPr>
        <w:t>3</w:t>
      </w:r>
      <w:r w:rsidR="00DB5D24" w:rsidRPr="002C0609">
        <w:rPr>
          <w:rFonts w:asciiTheme="minorHAnsi" w:hAnsiTheme="minorHAnsi"/>
          <w:b/>
          <w:smallCaps/>
          <w:color w:val="000000" w:themeColor="text1"/>
          <w:sz w:val="20"/>
          <w:szCs w:val="20"/>
        </w:rPr>
        <w:t xml:space="preserve">. UN </w:t>
      </w:r>
      <w:proofErr w:type="spellStart"/>
      <w:r w:rsidR="00DB5D24" w:rsidRPr="002C0609">
        <w:rPr>
          <w:rFonts w:asciiTheme="minorHAnsi" w:hAnsiTheme="minorHAnsi"/>
          <w:b/>
          <w:smallCaps/>
          <w:color w:val="000000" w:themeColor="text1"/>
          <w:sz w:val="20"/>
          <w:szCs w:val="20"/>
        </w:rPr>
        <w:t>ciljevi</w:t>
      </w:r>
      <w:proofErr w:type="spellEnd"/>
      <w:r w:rsidR="00DB5D24" w:rsidRPr="002C0609">
        <w:rPr>
          <w:rFonts w:asciiTheme="minorHAnsi" w:hAnsiTheme="minorHAnsi"/>
          <w:b/>
          <w:smallCaps/>
          <w:color w:val="000000" w:themeColor="text1"/>
          <w:sz w:val="20"/>
          <w:szCs w:val="20"/>
        </w:rPr>
        <w:t xml:space="preserve"> </w:t>
      </w:r>
      <w:proofErr w:type="spellStart"/>
      <w:r w:rsidR="00DB5D24" w:rsidRPr="002C0609">
        <w:rPr>
          <w:rFonts w:asciiTheme="minorHAnsi" w:hAnsiTheme="minorHAnsi"/>
          <w:b/>
          <w:smallCaps/>
          <w:color w:val="000000" w:themeColor="text1"/>
          <w:sz w:val="20"/>
          <w:szCs w:val="20"/>
        </w:rPr>
        <w:t>održivog</w:t>
      </w:r>
      <w:proofErr w:type="spellEnd"/>
      <w:r w:rsidR="00DB5D24" w:rsidRPr="002C0609">
        <w:rPr>
          <w:rFonts w:asciiTheme="minorHAnsi" w:hAnsiTheme="minorHAnsi"/>
          <w:b/>
          <w:smallCaps/>
          <w:color w:val="000000" w:themeColor="text1"/>
          <w:sz w:val="20"/>
          <w:szCs w:val="20"/>
        </w:rPr>
        <w:t xml:space="preserve"> </w:t>
      </w:r>
      <w:proofErr w:type="spellStart"/>
      <w:r w:rsidR="00DB5D24" w:rsidRPr="002C0609">
        <w:rPr>
          <w:rFonts w:asciiTheme="minorHAnsi" w:hAnsiTheme="minorHAnsi"/>
          <w:b/>
          <w:smallCaps/>
          <w:color w:val="000000" w:themeColor="text1"/>
          <w:sz w:val="20"/>
          <w:szCs w:val="20"/>
        </w:rPr>
        <w:t>razvoja</w:t>
      </w:r>
      <w:proofErr w:type="spellEnd"/>
      <w:r w:rsidR="00DB5D24" w:rsidRPr="002C0609">
        <w:rPr>
          <w:rFonts w:asciiTheme="minorHAnsi" w:hAnsiTheme="minorHAnsi"/>
          <w:b/>
          <w:smallCaps/>
          <w:color w:val="000000" w:themeColor="text1"/>
          <w:sz w:val="20"/>
          <w:szCs w:val="20"/>
        </w:rPr>
        <w:t xml:space="preserve"> – </w:t>
      </w:r>
      <w:proofErr w:type="spellStart"/>
      <w:r w:rsidR="00DB5D24" w:rsidRPr="002C0609">
        <w:rPr>
          <w:rFonts w:asciiTheme="minorHAnsi" w:hAnsiTheme="minorHAnsi"/>
          <w:b/>
          <w:smallCaps/>
          <w:color w:val="000000" w:themeColor="text1"/>
          <w:sz w:val="20"/>
          <w:szCs w:val="20"/>
        </w:rPr>
        <w:t>cilj</w:t>
      </w:r>
      <w:proofErr w:type="spellEnd"/>
      <w:r w:rsidR="00DB5D24" w:rsidRPr="002C0609">
        <w:rPr>
          <w:rFonts w:asciiTheme="minorHAnsi" w:hAnsiTheme="minorHAnsi"/>
          <w:b/>
          <w:smallCaps/>
          <w:color w:val="000000" w:themeColor="text1"/>
          <w:sz w:val="20"/>
          <w:szCs w:val="20"/>
        </w:rPr>
        <w:t xml:space="preserve"> 4. </w:t>
      </w:r>
      <w:proofErr w:type="spellStart"/>
      <w:r w:rsidR="00DB5D24" w:rsidRPr="002C0609">
        <w:rPr>
          <w:rFonts w:asciiTheme="minorHAnsi" w:hAnsiTheme="minorHAnsi"/>
          <w:b/>
          <w:smallCaps/>
          <w:color w:val="000000" w:themeColor="text1"/>
          <w:sz w:val="20"/>
          <w:szCs w:val="20"/>
        </w:rPr>
        <w:t>Obezbediti</w:t>
      </w:r>
      <w:proofErr w:type="spellEnd"/>
      <w:r w:rsidR="00DB5D24" w:rsidRPr="002C0609">
        <w:rPr>
          <w:rFonts w:asciiTheme="minorHAnsi" w:hAnsiTheme="minorHAnsi"/>
          <w:b/>
          <w:smallCaps/>
          <w:color w:val="000000" w:themeColor="text1"/>
          <w:sz w:val="20"/>
          <w:szCs w:val="20"/>
        </w:rPr>
        <w:t xml:space="preserve"> </w:t>
      </w:r>
      <w:proofErr w:type="spellStart"/>
      <w:r w:rsidR="00DB5D24" w:rsidRPr="002C0609">
        <w:rPr>
          <w:rFonts w:asciiTheme="minorHAnsi" w:hAnsiTheme="minorHAnsi"/>
          <w:b/>
          <w:smallCaps/>
          <w:color w:val="000000" w:themeColor="text1"/>
          <w:sz w:val="20"/>
          <w:szCs w:val="20"/>
        </w:rPr>
        <w:t>inkluzivno</w:t>
      </w:r>
      <w:proofErr w:type="spellEnd"/>
      <w:r w:rsidR="00DB5D24" w:rsidRPr="002C0609">
        <w:rPr>
          <w:rFonts w:asciiTheme="minorHAnsi" w:hAnsiTheme="minorHAnsi"/>
          <w:b/>
          <w:smallCaps/>
          <w:color w:val="000000" w:themeColor="text1"/>
          <w:sz w:val="20"/>
          <w:szCs w:val="20"/>
        </w:rPr>
        <w:t xml:space="preserve"> </w:t>
      </w:r>
      <w:proofErr w:type="spellStart"/>
      <w:r w:rsidR="00DB5D24" w:rsidRPr="002C0609">
        <w:rPr>
          <w:rFonts w:asciiTheme="minorHAnsi" w:hAnsiTheme="minorHAnsi"/>
          <w:b/>
          <w:smallCaps/>
          <w:color w:val="000000" w:themeColor="text1"/>
          <w:sz w:val="20"/>
          <w:szCs w:val="20"/>
        </w:rPr>
        <w:t>i</w:t>
      </w:r>
      <w:proofErr w:type="spellEnd"/>
      <w:r w:rsidR="00DB5D24" w:rsidRPr="002C0609">
        <w:rPr>
          <w:rFonts w:asciiTheme="minorHAnsi" w:hAnsiTheme="minorHAnsi"/>
          <w:b/>
          <w:smallCaps/>
          <w:color w:val="000000" w:themeColor="text1"/>
          <w:sz w:val="20"/>
          <w:szCs w:val="20"/>
        </w:rPr>
        <w:t xml:space="preserve"> </w:t>
      </w:r>
      <w:proofErr w:type="spellStart"/>
      <w:r w:rsidR="00DB5D24" w:rsidRPr="002C0609">
        <w:rPr>
          <w:rFonts w:asciiTheme="minorHAnsi" w:hAnsiTheme="minorHAnsi"/>
          <w:b/>
          <w:smallCaps/>
          <w:color w:val="000000" w:themeColor="text1"/>
          <w:sz w:val="20"/>
          <w:szCs w:val="20"/>
        </w:rPr>
        <w:t>kvalitetno</w:t>
      </w:r>
      <w:proofErr w:type="spellEnd"/>
      <w:r w:rsidR="00DB5D24" w:rsidRPr="002C0609">
        <w:rPr>
          <w:rFonts w:asciiTheme="minorHAnsi" w:hAnsiTheme="minorHAnsi"/>
          <w:b/>
          <w:smallCaps/>
          <w:color w:val="000000" w:themeColor="text1"/>
          <w:sz w:val="20"/>
          <w:szCs w:val="20"/>
        </w:rPr>
        <w:t xml:space="preserve"> </w:t>
      </w:r>
      <w:proofErr w:type="spellStart"/>
      <w:r w:rsidR="00DB5D24" w:rsidRPr="002C0609">
        <w:rPr>
          <w:rFonts w:asciiTheme="minorHAnsi" w:hAnsiTheme="minorHAnsi"/>
          <w:b/>
          <w:smallCaps/>
          <w:color w:val="000000" w:themeColor="text1"/>
          <w:sz w:val="20"/>
          <w:szCs w:val="20"/>
        </w:rPr>
        <w:t>obrazovanje</w:t>
      </w:r>
      <w:proofErr w:type="spellEnd"/>
      <w:r w:rsidR="00DB5D24" w:rsidRPr="002C0609">
        <w:rPr>
          <w:rFonts w:asciiTheme="minorHAnsi" w:hAnsiTheme="minorHAnsi"/>
          <w:b/>
          <w:smallCaps/>
          <w:color w:val="000000" w:themeColor="text1"/>
          <w:sz w:val="20"/>
          <w:szCs w:val="20"/>
        </w:rPr>
        <w:t xml:space="preserve"> </w:t>
      </w:r>
      <w:proofErr w:type="spellStart"/>
      <w:r w:rsidR="00DB5D24" w:rsidRPr="002C0609">
        <w:rPr>
          <w:rFonts w:asciiTheme="minorHAnsi" w:hAnsiTheme="minorHAnsi"/>
          <w:b/>
          <w:smallCaps/>
          <w:color w:val="000000" w:themeColor="text1"/>
          <w:sz w:val="20"/>
          <w:szCs w:val="20"/>
        </w:rPr>
        <w:t>i</w:t>
      </w:r>
      <w:proofErr w:type="spellEnd"/>
      <w:r w:rsidR="00DB5D24" w:rsidRPr="002C0609">
        <w:rPr>
          <w:rFonts w:asciiTheme="minorHAnsi" w:hAnsiTheme="minorHAnsi"/>
          <w:b/>
          <w:smallCaps/>
          <w:color w:val="000000" w:themeColor="text1"/>
          <w:sz w:val="20"/>
          <w:szCs w:val="20"/>
        </w:rPr>
        <w:t xml:space="preserve"> </w:t>
      </w:r>
      <w:proofErr w:type="spellStart"/>
      <w:r w:rsidR="00DB5D24" w:rsidRPr="002C0609">
        <w:rPr>
          <w:rFonts w:asciiTheme="minorHAnsi" w:hAnsiTheme="minorHAnsi"/>
          <w:b/>
          <w:smallCaps/>
          <w:color w:val="000000" w:themeColor="text1"/>
          <w:sz w:val="20"/>
          <w:szCs w:val="20"/>
        </w:rPr>
        <w:t>promovisati</w:t>
      </w:r>
      <w:proofErr w:type="spellEnd"/>
      <w:r w:rsidR="00DB5D24" w:rsidRPr="002C0609">
        <w:rPr>
          <w:rFonts w:asciiTheme="minorHAnsi" w:hAnsiTheme="minorHAnsi"/>
          <w:b/>
          <w:smallCaps/>
          <w:color w:val="000000" w:themeColor="text1"/>
          <w:sz w:val="20"/>
          <w:szCs w:val="20"/>
        </w:rPr>
        <w:t xml:space="preserve"> </w:t>
      </w:r>
      <w:proofErr w:type="spellStart"/>
      <w:r w:rsidR="00DB5D24" w:rsidRPr="002C0609">
        <w:rPr>
          <w:rFonts w:asciiTheme="minorHAnsi" w:hAnsiTheme="minorHAnsi"/>
          <w:b/>
          <w:smallCaps/>
          <w:color w:val="000000" w:themeColor="text1"/>
          <w:sz w:val="20"/>
          <w:szCs w:val="20"/>
        </w:rPr>
        <w:t>mogućnosti</w:t>
      </w:r>
      <w:proofErr w:type="spellEnd"/>
      <w:r w:rsidR="00DB5D24" w:rsidRPr="002C0609">
        <w:rPr>
          <w:rFonts w:asciiTheme="minorHAnsi" w:hAnsiTheme="minorHAnsi"/>
          <w:b/>
          <w:smallCaps/>
          <w:color w:val="000000" w:themeColor="text1"/>
          <w:sz w:val="20"/>
          <w:szCs w:val="20"/>
        </w:rPr>
        <w:t xml:space="preserve"> </w:t>
      </w:r>
      <w:proofErr w:type="spellStart"/>
      <w:r w:rsidR="00DB5D24" w:rsidRPr="002C0609">
        <w:rPr>
          <w:rFonts w:asciiTheme="minorHAnsi" w:hAnsiTheme="minorHAnsi"/>
          <w:b/>
          <w:smallCaps/>
          <w:color w:val="000000" w:themeColor="text1"/>
          <w:sz w:val="20"/>
          <w:szCs w:val="20"/>
        </w:rPr>
        <w:t>celoživotnog</w:t>
      </w:r>
      <w:proofErr w:type="spellEnd"/>
      <w:r w:rsidR="00DB5D24" w:rsidRPr="002C0609">
        <w:rPr>
          <w:rFonts w:asciiTheme="minorHAnsi" w:hAnsiTheme="minorHAnsi"/>
          <w:b/>
          <w:smallCaps/>
          <w:color w:val="000000" w:themeColor="text1"/>
          <w:sz w:val="20"/>
          <w:szCs w:val="20"/>
        </w:rPr>
        <w:t xml:space="preserve"> </w:t>
      </w:r>
      <w:proofErr w:type="spellStart"/>
      <w:r w:rsidR="00DB5D24" w:rsidRPr="002C0609">
        <w:rPr>
          <w:rFonts w:asciiTheme="minorHAnsi" w:hAnsiTheme="minorHAnsi"/>
          <w:b/>
          <w:smallCaps/>
          <w:color w:val="000000" w:themeColor="text1"/>
          <w:sz w:val="20"/>
          <w:szCs w:val="20"/>
        </w:rPr>
        <w:t>učenja</w:t>
      </w:r>
      <w:proofErr w:type="spellEnd"/>
    </w:p>
    <w:p w14:paraId="64D4FA36" w14:textId="77777777" w:rsidR="00DB5D24" w:rsidRPr="003130B7" w:rsidRDefault="00DB5D24" w:rsidP="00DB5D24">
      <w:pPr>
        <w:pBdr>
          <w:top w:val="single" w:sz="4" w:space="1" w:color="auto" w:shadow="1"/>
          <w:left w:val="single" w:sz="4" w:space="0" w:color="auto" w:shadow="1"/>
          <w:bottom w:val="single" w:sz="4" w:space="1" w:color="auto" w:shadow="1"/>
          <w:right w:val="single" w:sz="4" w:space="0" w:color="auto" w:shadow="1"/>
        </w:pBdr>
        <w:jc w:val="both"/>
        <w:textAlignment w:val="center"/>
        <w:rPr>
          <w:rFonts w:asciiTheme="minorHAnsi" w:hAnsiTheme="minorHAnsi"/>
          <w:bCs/>
          <w:color w:val="000000" w:themeColor="text1"/>
          <w:sz w:val="19"/>
          <w:szCs w:val="19"/>
        </w:rPr>
      </w:pPr>
      <w:r w:rsidRPr="003130B7">
        <w:rPr>
          <w:rFonts w:asciiTheme="minorHAnsi" w:hAnsiTheme="minorHAnsi"/>
          <w:smallCaps/>
          <w:color w:val="000000" w:themeColor="text1"/>
          <w:sz w:val="19"/>
          <w:szCs w:val="19"/>
        </w:rPr>
        <w:t xml:space="preserve">U </w:t>
      </w:r>
      <w:proofErr w:type="spellStart"/>
      <w:r w:rsidRPr="003130B7">
        <w:rPr>
          <w:rFonts w:asciiTheme="minorHAnsi" w:hAnsiTheme="minorHAnsi"/>
          <w:color w:val="000000" w:themeColor="text1"/>
          <w:sz w:val="19"/>
          <w:szCs w:val="19"/>
        </w:rPr>
        <w:t>kontekstu</w:t>
      </w:r>
      <w:proofErr w:type="spellEnd"/>
      <w:r w:rsidRPr="003130B7">
        <w:rPr>
          <w:rFonts w:asciiTheme="minorHAnsi" w:hAnsiTheme="minorHAnsi"/>
          <w:color w:val="000000" w:themeColor="text1"/>
          <w:sz w:val="19"/>
          <w:szCs w:val="19"/>
        </w:rPr>
        <w:t xml:space="preserve"> UN </w:t>
      </w:r>
      <w:proofErr w:type="spellStart"/>
      <w:r w:rsidRPr="003130B7">
        <w:rPr>
          <w:rFonts w:asciiTheme="minorHAnsi" w:hAnsiTheme="minorHAnsi"/>
          <w:color w:val="000000" w:themeColor="text1"/>
          <w:sz w:val="19"/>
          <w:szCs w:val="19"/>
        </w:rPr>
        <w:t>ciljeva</w:t>
      </w:r>
      <w:proofErr w:type="spellEnd"/>
      <w:r w:rsidRPr="003130B7">
        <w:rPr>
          <w:rFonts w:asciiTheme="minorHAnsi" w:hAnsiTheme="minorHAnsi"/>
          <w:color w:val="000000" w:themeColor="text1"/>
          <w:sz w:val="19"/>
          <w:szCs w:val="19"/>
        </w:rPr>
        <w:t xml:space="preserve"> </w:t>
      </w:r>
      <w:proofErr w:type="spellStart"/>
      <w:r w:rsidRPr="003130B7">
        <w:rPr>
          <w:rFonts w:asciiTheme="minorHAnsi" w:hAnsiTheme="minorHAnsi"/>
          <w:color w:val="000000" w:themeColor="text1"/>
          <w:sz w:val="19"/>
          <w:szCs w:val="19"/>
        </w:rPr>
        <w:t>održivog</w:t>
      </w:r>
      <w:proofErr w:type="spellEnd"/>
      <w:r w:rsidRPr="003130B7">
        <w:rPr>
          <w:rFonts w:asciiTheme="minorHAnsi" w:hAnsiTheme="minorHAnsi"/>
          <w:color w:val="000000" w:themeColor="text1"/>
          <w:sz w:val="19"/>
          <w:szCs w:val="19"/>
        </w:rPr>
        <w:t xml:space="preserve"> </w:t>
      </w:r>
      <w:proofErr w:type="spellStart"/>
      <w:r w:rsidRPr="003130B7">
        <w:rPr>
          <w:rFonts w:asciiTheme="minorHAnsi" w:hAnsiTheme="minorHAnsi"/>
          <w:color w:val="000000" w:themeColor="text1"/>
          <w:sz w:val="19"/>
          <w:szCs w:val="19"/>
        </w:rPr>
        <w:t>rasta</w:t>
      </w:r>
      <w:proofErr w:type="spellEnd"/>
      <w:r w:rsidRPr="003130B7">
        <w:rPr>
          <w:rFonts w:asciiTheme="minorHAnsi" w:hAnsiTheme="minorHAnsi"/>
          <w:color w:val="000000" w:themeColor="text1"/>
          <w:sz w:val="19"/>
          <w:szCs w:val="19"/>
        </w:rPr>
        <w:t xml:space="preserve">, </w:t>
      </w:r>
      <w:proofErr w:type="spellStart"/>
      <w:r w:rsidRPr="003130B7">
        <w:rPr>
          <w:rFonts w:asciiTheme="minorHAnsi" w:hAnsiTheme="minorHAnsi"/>
          <w:i/>
          <w:color w:val="000000" w:themeColor="text1"/>
          <w:sz w:val="19"/>
          <w:szCs w:val="19"/>
        </w:rPr>
        <w:t>potcilj</w:t>
      </w:r>
      <w:proofErr w:type="spellEnd"/>
      <w:r w:rsidRPr="003130B7">
        <w:rPr>
          <w:rFonts w:asciiTheme="minorHAnsi" w:hAnsiTheme="minorHAnsi"/>
          <w:i/>
          <w:color w:val="000000" w:themeColor="text1"/>
          <w:sz w:val="19"/>
          <w:szCs w:val="19"/>
        </w:rPr>
        <w:t xml:space="preserve"> </w:t>
      </w:r>
      <w:r w:rsidRPr="003130B7">
        <w:rPr>
          <w:rFonts w:asciiTheme="minorHAnsi" w:hAnsiTheme="minorHAnsi"/>
          <w:bCs/>
          <w:i/>
          <w:color w:val="000000" w:themeColor="text1"/>
          <w:sz w:val="19"/>
          <w:szCs w:val="19"/>
          <w:bdr w:val="none" w:sz="0" w:space="0" w:color="auto" w:frame="1"/>
        </w:rPr>
        <w:t>4.2</w:t>
      </w:r>
      <w:r w:rsidRPr="003130B7">
        <w:rPr>
          <w:rFonts w:asciiTheme="minorHAnsi" w:hAnsiTheme="minorHAnsi"/>
          <w:bCs/>
          <w:i/>
          <w:color w:val="000000" w:themeColor="text1"/>
          <w:sz w:val="19"/>
          <w:szCs w:val="19"/>
        </w:rPr>
        <w:t xml:space="preserve"> Do </w:t>
      </w:r>
      <w:proofErr w:type="spellStart"/>
      <w:r w:rsidRPr="003130B7">
        <w:rPr>
          <w:rFonts w:asciiTheme="minorHAnsi" w:hAnsiTheme="minorHAnsi"/>
          <w:bCs/>
          <w:i/>
          <w:color w:val="000000" w:themeColor="text1"/>
          <w:sz w:val="19"/>
          <w:szCs w:val="19"/>
        </w:rPr>
        <w:t>kraja</w:t>
      </w:r>
      <w:proofErr w:type="spellEnd"/>
      <w:r w:rsidRPr="003130B7">
        <w:rPr>
          <w:rFonts w:asciiTheme="minorHAnsi" w:hAnsiTheme="minorHAnsi"/>
          <w:bCs/>
          <w:i/>
          <w:color w:val="000000" w:themeColor="text1"/>
          <w:sz w:val="19"/>
          <w:szCs w:val="19"/>
        </w:rPr>
        <w:t xml:space="preserve"> 2030. </w:t>
      </w:r>
      <w:proofErr w:type="spellStart"/>
      <w:r w:rsidRPr="003130B7">
        <w:rPr>
          <w:rFonts w:asciiTheme="minorHAnsi" w:hAnsiTheme="minorHAnsi"/>
          <w:bCs/>
          <w:i/>
          <w:color w:val="000000" w:themeColor="text1"/>
          <w:sz w:val="19"/>
          <w:szCs w:val="19"/>
        </w:rPr>
        <w:t>obezbediti</w:t>
      </w:r>
      <w:proofErr w:type="spellEnd"/>
      <w:r w:rsidRPr="003130B7">
        <w:rPr>
          <w:rFonts w:asciiTheme="minorHAnsi" w:hAnsiTheme="minorHAnsi"/>
          <w:bCs/>
          <w:i/>
          <w:color w:val="000000" w:themeColor="text1"/>
          <w:sz w:val="19"/>
          <w:szCs w:val="19"/>
        </w:rPr>
        <w:t xml:space="preserve"> da </w:t>
      </w:r>
      <w:proofErr w:type="spellStart"/>
      <w:r w:rsidRPr="003130B7">
        <w:rPr>
          <w:rFonts w:asciiTheme="minorHAnsi" w:hAnsiTheme="minorHAnsi"/>
          <w:bCs/>
          <w:i/>
          <w:color w:val="000000" w:themeColor="text1"/>
          <w:sz w:val="19"/>
          <w:szCs w:val="19"/>
        </w:rPr>
        <w:t>sve</w:t>
      </w:r>
      <w:proofErr w:type="spellEnd"/>
      <w:r w:rsidRPr="003130B7">
        <w:rPr>
          <w:rFonts w:asciiTheme="minorHAnsi" w:hAnsiTheme="minorHAnsi"/>
          <w:bCs/>
          <w:i/>
          <w:color w:val="000000" w:themeColor="text1"/>
          <w:sz w:val="19"/>
          <w:szCs w:val="19"/>
        </w:rPr>
        <w:t xml:space="preserve"> </w:t>
      </w:r>
      <w:proofErr w:type="spellStart"/>
      <w:r w:rsidRPr="003130B7">
        <w:rPr>
          <w:rFonts w:asciiTheme="minorHAnsi" w:hAnsiTheme="minorHAnsi"/>
          <w:bCs/>
          <w:i/>
          <w:color w:val="000000" w:themeColor="text1"/>
          <w:sz w:val="19"/>
          <w:szCs w:val="19"/>
        </w:rPr>
        <w:t>devojčice</w:t>
      </w:r>
      <w:proofErr w:type="spellEnd"/>
      <w:r w:rsidRPr="003130B7">
        <w:rPr>
          <w:rFonts w:asciiTheme="minorHAnsi" w:hAnsiTheme="minorHAnsi"/>
          <w:bCs/>
          <w:i/>
          <w:color w:val="000000" w:themeColor="text1"/>
          <w:sz w:val="19"/>
          <w:szCs w:val="19"/>
        </w:rPr>
        <w:t xml:space="preserve"> </w:t>
      </w:r>
      <w:proofErr w:type="spellStart"/>
      <w:r w:rsidRPr="003130B7">
        <w:rPr>
          <w:rFonts w:asciiTheme="minorHAnsi" w:hAnsiTheme="minorHAnsi"/>
          <w:bCs/>
          <w:i/>
          <w:color w:val="000000" w:themeColor="text1"/>
          <w:sz w:val="19"/>
          <w:szCs w:val="19"/>
        </w:rPr>
        <w:t>i</w:t>
      </w:r>
      <w:proofErr w:type="spellEnd"/>
      <w:r w:rsidRPr="003130B7">
        <w:rPr>
          <w:rFonts w:asciiTheme="minorHAnsi" w:hAnsiTheme="minorHAnsi"/>
          <w:bCs/>
          <w:i/>
          <w:color w:val="000000" w:themeColor="text1"/>
          <w:sz w:val="19"/>
          <w:szCs w:val="19"/>
        </w:rPr>
        <w:t xml:space="preserve"> </w:t>
      </w:r>
      <w:proofErr w:type="spellStart"/>
      <w:r w:rsidRPr="003130B7">
        <w:rPr>
          <w:rFonts w:asciiTheme="minorHAnsi" w:hAnsiTheme="minorHAnsi"/>
          <w:bCs/>
          <w:i/>
          <w:color w:val="000000" w:themeColor="text1"/>
          <w:sz w:val="19"/>
          <w:szCs w:val="19"/>
        </w:rPr>
        <w:t>dečaci</w:t>
      </w:r>
      <w:proofErr w:type="spellEnd"/>
      <w:r w:rsidRPr="003130B7">
        <w:rPr>
          <w:rFonts w:asciiTheme="minorHAnsi" w:hAnsiTheme="minorHAnsi"/>
          <w:bCs/>
          <w:i/>
          <w:color w:val="000000" w:themeColor="text1"/>
          <w:sz w:val="19"/>
          <w:szCs w:val="19"/>
        </w:rPr>
        <w:t xml:space="preserve"> </w:t>
      </w:r>
      <w:proofErr w:type="spellStart"/>
      <w:r w:rsidRPr="003130B7">
        <w:rPr>
          <w:rFonts w:asciiTheme="minorHAnsi" w:hAnsiTheme="minorHAnsi"/>
          <w:bCs/>
          <w:i/>
          <w:color w:val="000000" w:themeColor="text1"/>
          <w:sz w:val="19"/>
          <w:szCs w:val="19"/>
        </w:rPr>
        <w:t>imaju</w:t>
      </w:r>
      <w:proofErr w:type="spellEnd"/>
      <w:r w:rsidRPr="003130B7">
        <w:rPr>
          <w:rFonts w:asciiTheme="minorHAnsi" w:hAnsiTheme="minorHAnsi"/>
          <w:bCs/>
          <w:i/>
          <w:color w:val="000000" w:themeColor="text1"/>
          <w:sz w:val="19"/>
          <w:szCs w:val="19"/>
        </w:rPr>
        <w:t xml:space="preserve"> </w:t>
      </w:r>
      <w:proofErr w:type="spellStart"/>
      <w:r w:rsidRPr="003130B7">
        <w:rPr>
          <w:rFonts w:asciiTheme="minorHAnsi" w:hAnsiTheme="minorHAnsi"/>
          <w:bCs/>
          <w:i/>
          <w:color w:val="000000" w:themeColor="text1"/>
          <w:sz w:val="19"/>
          <w:szCs w:val="19"/>
        </w:rPr>
        <w:t>pristup</w:t>
      </w:r>
      <w:proofErr w:type="spellEnd"/>
      <w:r w:rsidRPr="003130B7">
        <w:rPr>
          <w:rFonts w:asciiTheme="minorHAnsi" w:hAnsiTheme="minorHAnsi"/>
          <w:bCs/>
          <w:i/>
          <w:color w:val="000000" w:themeColor="text1"/>
          <w:sz w:val="19"/>
          <w:szCs w:val="19"/>
        </w:rPr>
        <w:t xml:space="preserve"> </w:t>
      </w:r>
      <w:proofErr w:type="spellStart"/>
      <w:r w:rsidRPr="003130B7">
        <w:rPr>
          <w:rFonts w:asciiTheme="minorHAnsi" w:hAnsiTheme="minorHAnsi"/>
          <w:bCs/>
          <w:i/>
          <w:color w:val="000000" w:themeColor="text1"/>
          <w:sz w:val="19"/>
          <w:szCs w:val="19"/>
        </w:rPr>
        <w:t>kvalitetnom</w:t>
      </w:r>
      <w:proofErr w:type="spellEnd"/>
      <w:r w:rsidRPr="003130B7">
        <w:rPr>
          <w:rFonts w:asciiTheme="minorHAnsi" w:hAnsiTheme="minorHAnsi"/>
          <w:bCs/>
          <w:i/>
          <w:color w:val="000000" w:themeColor="text1"/>
          <w:sz w:val="19"/>
          <w:szCs w:val="19"/>
        </w:rPr>
        <w:t xml:space="preserve"> </w:t>
      </w:r>
      <w:proofErr w:type="spellStart"/>
      <w:r w:rsidRPr="003130B7">
        <w:rPr>
          <w:rFonts w:asciiTheme="minorHAnsi" w:hAnsiTheme="minorHAnsi"/>
          <w:bCs/>
          <w:i/>
          <w:color w:val="000000" w:themeColor="text1"/>
          <w:sz w:val="19"/>
          <w:szCs w:val="19"/>
        </w:rPr>
        <w:t>razvoju</w:t>
      </w:r>
      <w:proofErr w:type="spellEnd"/>
      <w:r w:rsidRPr="003130B7">
        <w:rPr>
          <w:rFonts w:asciiTheme="minorHAnsi" w:hAnsiTheme="minorHAnsi"/>
          <w:bCs/>
          <w:i/>
          <w:color w:val="000000" w:themeColor="text1"/>
          <w:sz w:val="19"/>
          <w:szCs w:val="19"/>
        </w:rPr>
        <w:t xml:space="preserve"> u </w:t>
      </w:r>
      <w:proofErr w:type="spellStart"/>
      <w:r w:rsidRPr="003130B7">
        <w:rPr>
          <w:rFonts w:asciiTheme="minorHAnsi" w:hAnsiTheme="minorHAnsi"/>
          <w:bCs/>
          <w:i/>
          <w:color w:val="000000" w:themeColor="text1"/>
          <w:sz w:val="19"/>
          <w:szCs w:val="19"/>
        </w:rPr>
        <w:t>ranom</w:t>
      </w:r>
      <w:proofErr w:type="spellEnd"/>
      <w:r w:rsidRPr="003130B7">
        <w:rPr>
          <w:rFonts w:asciiTheme="minorHAnsi" w:hAnsiTheme="minorHAnsi"/>
          <w:bCs/>
          <w:i/>
          <w:color w:val="000000" w:themeColor="text1"/>
          <w:sz w:val="19"/>
          <w:szCs w:val="19"/>
        </w:rPr>
        <w:t xml:space="preserve"> </w:t>
      </w:r>
      <w:proofErr w:type="spellStart"/>
      <w:r w:rsidRPr="003130B7">
        <w:rPr>
          <w:rFonts w:asciiTheme="minorHAnsi" w:hAnsiTheme="minorHAnsi"/>
          <w:bCs/>
          <w:i/>
          <w:color w:val="000000" w:themeColor="text1"/>
          <w:sz w:val="19"/>
          <w:szCs w:val="19"/>
        </w:rPr>
        <w:t>detinjstvu</w:t>
      </w:r>
      <w:proofErr w:type="spellEnd"/>
      <w:r w:rsidRPr="003130B7">
        <w:rPr>
          <w:rFonts w:asciiTheme="minorHAnsi" w:hAnsiTheme="minorHAnsi"/>
          <w:bCs/>
          <w:i/>
          <w:color w:val="000000" w:themeColor="text1"/>
          <w:sz w:val="19"/>
          <w:szCs w:val="19"/>
        </w:rPr>
        <w:t xml:space="preserve">, </w:t>
      </w:r>
      <w:proofErr w:type="spellStart"/>
      <w:r w:rsidRPr="003130B7">
        <w:rPr>
          <w:rFonts w:asciiTheme="minorHAnsi" w:hAnsiTheme="minorHAnsi"/>
          <w:bCs/>
          <w:i/>
          <w:color w:val="000000" w:themeColor="text1"/>
          <w:sz w:val="19"/>
          <w:szCs w:val="19"/>
        </w:rPr>
        <w:t>brizi</w:t>
      </w:r>
      <w:proofErr w:type="spellEnd"/>
      <w:r w:rsidRPr="003130B7">
        <w:rPr>
          <w:rFonts w:asciiTheme="minorHAnsi" w:hAnsiTheme="minorHAnsi"/>
          <w:bCs/>
          <w:i/>
          <w:color w:val="000000" w:themeColor="text1"/>
          <w:sz w:val="19"/>
          <w:szCs w:val="19"/>
        </w:rPr>
        <w:t xml:space="preserve"> </w:t>
      </w:r>
      <w:proofErr w:type="spellStart"/>
      <w:r w:rsidRPr="003130B7">
        <w:rPr>
          <w:rFonts w:asciiTheme="minorHAnsi" w:hAnsiTheme="minorHAnsi"/>
          <w:bCs/>
          <w:i/>
          <w:color w:val="000000" w:themeColor="text1"/>
          <w:sz w:val="19"/>
          <w:szCs w:val="19"/>
        </w:rPr>
        <w:t>i</w:t>
      </w:r>
      <w:proofErr w:type="spellEnd"/>
      <w:r w:rsidRPr="003130B7">
        <w:rPr>
          <w:rFonts w:asciiTheme="minorHAnsi" w:hAnsiTheme="minorHAnsi"/>
          <w:bCs/>
          <w:i/>
          <w:color w:val="000000" w:themeColor="text1"/>
          <w:sz w:val="19"/>
          <w:szCs w:val="19"/>
        </w:rPr>
        <w:t xml:space="preserve"> </w:t>
      </w:r>
      <w:proofErr w:type="spellStart"/>
      <w:r w:rsidRPr="003130B7">
        <w:rPr>
          <w:rFonts w:asciiTheme="minorHAnsi" w:hAnsiTheme="minorHAnsi"/>
          <w:bCs/>
          <w:i/>
          <w:color w:val="000000" w:themeColor="text1"/>
          <w:sz w:val="19"/>
          <w:szCs w:val="19"/>
        </w:rPr>
        <w:t>predškolskom</w:t>
      </w:r>
      <w:proofErr w:type="spellEnd"/>
      <w:r w:rsidRPr="003130B7">
        <w:rPr>
          <w:rFonts w:asciiTheme="minorHAnsi" w:hAnsiTheme="minorHAnsi"/>
          <w:bCs/>
          <w:i/>
          <w:color w:val="000000" w:themeColor="text1"/>
          <w:sz w:val="19"/>
          <w:szCs w:val="19"/>
        </w:rPr>
        <w:t xml:space="preserve"> </w:t>
      </w:r>
      <w:proofErr w:type="spellStart"/>
      <w:r w:rsidRPr="003130B7">
        <w:rPr>
          <w:rFonts w:asciiTheme="minorHAnsi" w:hAnsiTheme="minorHAnsi"/>
          <w:bCs/>
          <w:i/>
          <w:color w:val="000000" w:themeColor="text1"/>
          <w:sz w:val="19"/>
          <w:szCs w:val="19"/>
        </w:rPr>
        <w:t>obrazovanju</w:t>
      </w:r>
      <w:proofErr w:type="spellEnd"/>
      <w:r w:rsidRPr="003130B7">
        <w:rPr>
          <w:rFonts w:asciiTheme="minorHAnsi" w:hAnsiTheme="minorHAnsi"/>
          <w:bCs/>
          <w:i/>
          <w:color w:val="000000" w:themeColor="text1"/>
          <w:sz w:val="19"/>
          <w:szCs w:val="19"/>
        </w:rPr>
        <w:t xml:space="preserve"> </w:t>
      </w:r>
      <w:proofErr w:type="spellStart"/>
      <w:r w:rsidRPr="003130B7">
        <w:rPr>
          <w:rFonts w:asciiTheme="minorHAnsi" w:hAnsiTheme="minorHAnsi"/>
          <w:bCs/>
          <w:i/>
          <w:color w:val="000000" w:themeColor="text1"/>
          <w:sz w:val="19"/>
          <w:szCs w:val="19"/>
        </w:rPr>
        <w:t>kako</w:t>
      </w:r>
      <w:proofErr w:type="spellEnd"/>
      <w:r w:rsidRPr="003130B7">
        <w:rPr>
          <w:rFonts w:asciiTheme="minorHAnsi" w:hAnsiTheme="minorHAnsi"/>
          <w:bCs/>
          <w:i/>
          <w:color w:val="000000" w:themeColor="text1"/>
          <w:sz w:val="19"/>
          <w:szCs w:val="19"/>
        </w:rPr>
        <w:t xml:space="preserve"> bi se </w:t>
      </w:r>
      <w:proofErr w:type="spellStart"/>
      <w:r w:rsidRPr="003130B7">
        <w:rPr>
          <w:rFonts w:asciiTheme="minorHAnsi" w:hAnsiTheme="minorHAnsi"/>
          <w:bCs/>
          <w:i/>
          <w:color w:val="000000" w:themeColor="text1"/>
          <w:sz w:val="19"/>
          <w:szCs w:val="19"/>
        </w:rPr>
        <w:t>pripremili</w:t>
      </w:r>
      <w:proofErr w:type="spellEnd"/>
      <w:r w:rsidRPr="003130B7">
        <w:rPr>
          <w:rFonts w:asciiTheme="minorHAnsi" w:hAnsiTheme="minorHAnsi"/>
          <w:bCs/>
          <w:i/>
          <w:color w:val="000000" w:themeColor="text1"/>
          <w:sz w:val="19"/>
          <w:szCs w:val="19"/>
        </w:rPr>
        <w:t xml:space="preserve"> za </w:t>
      </w:r>
      <w:proofErr w:type="spellStart"/>
      <w:r w:rsidRPr="003130B7">
        <w:rPr>
          <w:rFonts w:asciiTheme="minorHAnsi" w:hAnsiTheme="minorHAnsi"/>
          <w:bCs/>
          <w:i/>
          <w:color w:val="000000" w:themeColor="text1"/>
          <w:sz w:val="19"/>
          <w:szCs w:val="19"/>
        </w:rPr>
        <w:t>osnovno</w:t>
      </w:r>
      <w:proofErr w:type="spellEnd"/>
      <w:r w:rsidRPr="003130B7">
        <w:rPr>
          <w:rFonts w:asciiTheme="minorHAnsi" w:hAnsiTheme="minorHAnsi"/>
          <w:bCs/>
          <w:i/>
          <w:color w:val="000000" w:themeColor="text1"/>
          <w:sz w:val="19"/>
          <w:szCs w:val="19"/>
        </w:rPr>
        <w:t xml:space="preserve"> </w:t>
      </w:r>
      <w:proofErr w:type="spellStart"/>
      <w:r w:rsidRPr="003130B7">
        <w:rPr>
          <w:rFonts w:asciiTheme="minorHAnsi" w:hAnsiTheme="minorHAnsi"/>
          <w:bCs/>
          <w:i/>
          <w:color w:val="000000" w:themeColor="text1"/>
          <w:sz w:val="19"/>
          <w:szCs w:val="19"/>
        </w:rPr>
        <w:t>obrazovanje</w:t>
      </w:r>
      <w:proofErr w:type="spellEnd"/>
      <w:r w:rsidRPr="003130B7">
        <w:rPr>
          <w:rStyle w:val="FootnoteReference"/>
          <w:rFonts w:asciiTheme="minorHAnsi" w:hAnsiTheme="minorHAnsi"/>
          <w:bCs/>
          <w:color w:val="000000" w:themeColor="text1"/>
          <w:sz w:val="19"/>
          <w:szCs w:val="19"/>
        </w:rPr>
        <w:footnoteReference w:id="12"/>
      </w:r>
      <w:r w:rsidRPr="003130B7">
        <w:rPr>
          <w:rFonts w:asciiTheme="minorHAnsi" w:hAnsiTheme="minorHAnsi"/>
          <w:bCs/>
          <w:color w:val="000000" w:themeColor="text1"/>
          <w:sz w:val="19"/>
          <w:szCs w:val="19"/>
        </w:rPr>
        <w:t xml:space="preserve"> </w:t>
      </w:r>
      <w:proofErr w:type="spellStart"/>
      <w:r w:rsidRPr="003130B7">
        <w:rPr>
          <w:rFonts w:asciiTheme="minorHAnsi" w:hAnsiTheme="minorHAnsi"/>
          <w:bCs/>
          <w:color w:val="000000" w:themeColor="text1"/>
          <w:sz w:val="19"/>
          <w:szCs w:val="19"/>
        </w:rPr>
        <w:t>posebno</w:t>
      </w:r>
      <w:proofErr w:type="spellEnd"/>
      <w:r w:rsidRPr="003130B7">
        <w:rPr>
          <w:rFonts w:asciiTheme="minorHAnsi" w:hAnsiTheme="minorHAnsi"/>
          <w:bCs/>
          <w:color w:val="000000" w:themeColor="text1"/>
          <w:sz w:val="19"/>
          <w:szCs w:val="19"/>
        </w:rPr>
        <w:t xml:space="preserve"> je </w:t>
      </w:r>
      <w:proofErr w:type="spellStart"/>
      <w:r w:rsidRPr="003130B7">
        <w:rPr>
          <w:rFonts w:asciiTheme="minorHAnsi" w:hAnsiTheme="minorHAnsi"/>
          <w:bCs/>
          <w:color w:val="000000" w:themeColor="text1"/>
          <w:sz w:val="19"/>
          <w:szCs w:val="19"/>
        </w:rPr>
        <w:t>važan</w:t>
      </w:r>
      <w:proofErr w:type="spellEnd"/>
      <w:r w:rsidRPr="003130B7">
        <w:rPr>
          <w:rFonts w:asciiTheme="minorHAnsi" w:hAnsiTheme="minorHAnsi"/>
          <w:bCs/>
          <w:color w:val="000000" w:themeColor="text1"/>
          <w:sz w:val="19"/>
          <w:szCs w:val="19"/>
        </w:rPr>
        <w:t xml:space="preserve"> za </w:t>
      </w:r>
      <w:proofErr w:type="spellStart"/>
      <w:r w:rsidRPr="003130B7">
        <w:rPr>
          <w:rFonts w:asciiTheme="minorHAnsi" w:hAnsiTheme="minorHAnsi"/>
          <w:bCs/>
          <w:color w:val="000000" w:themeColor="text1"/>
          <w:sz w:val="19"/>
          <w:szCs w:val="19"/>
        </w:rPr>
        <w:t>nivo</w:t>
      </w:r>
      <w:proofErr w:type="spellEnd"/>
      <w:r w:rsidRPr="003130B7">
        <w:rPr>
          <w:rFonts w:asciiTheme="minorHAnsi" w:hAnsiTheme="minorHAnsi"/>
          <w:bCs/>
          <w:color w:val="000000" w:themeColor="text1"/>
          <w:sz w:val="19"/>
          <w:szCs w:val="19"/>
        </w:rPr>
        <w:t xml:space="preserve"> </w:t>
      </w:r>
      <w:proofErr w:type="spellStart"/>
      <w:r w:rsidRPr="003130B7">
        <w:rPr>
          <w:rFonts w:asciiTheme="minorHAnsi" w:hAnsiTheme="minorHAnsi"/>
          <w:bCs/>
          <w:color w:val="000000" w:themeColor="text1"/>
          <w:sz w:val="19"/>
          <w:szCs w:val="19"/>
        </w:rPr>
        <w:t>lokalnih</w:t>
      </w:r>
      <w:proofErr w:type="spellEnd"/>
      <w:r w:rsidRPr="003130B7">
        <w:rPr>
          <w:rFonts w:asciiTheme="minorHAnsi" w:hAnsiTheme="minorHAnsi"/>
          <w:bCs/>
          <w:color w:val="000000" w:themeColor="text1"/>
          <w:sz w:val="19"/>
          <w:szCs w:val="19"/>
        </w:rPr>
        <w:t xml:space="preserve"> </w:t>
      </w:r>
      <w:proofErr w:type="spellStart"/>
      <w:r w:rsidRPr="003130B7">
        <w:rPr>
          <w:rFonts w:asciiTheme="minorHAnsi" w:hAnsiTheme="minorHAnsi"/>
          <w:bCs/>
          <w:color w:val="000000" w:themeColor="text1"/>
          <w:sz w:val="19"/>
          <w:szCs w:val="19"/>
        </w:rPr>
        <w:t>samouprava</w:t>
      </w:r>
      <w:proofErr w:type="spellEnd"/>
      <w:r w:rsidRPr="003130B7">
        <w:rPr>
          <w:rFonts w:asciiTheme="minorHAnsi" w:hAnsiTheme="minorHAnsi"/>
          <w:bCs/>
          <w:color w:val="000000" w:themeColor="text1"/>
          <w:sz w:val="19"/>
          <w:szCs w:val="19"/>
        </w:rPr>
        <w:t xml:space="preserve">. </w:t>
      </w:r>
    </w:p>
    <w:p w14:paraId="598FC6C0" w14:textId="77777777" w:rsidR="00DB5D24" w:rsidRPr="003130B7" w:rsidRDefault="00DB5D24" w:rsidP="00DB5D24">
      <w:pPr>
        <w:pBdr>
          <w:top w:val="single" w:sz="4" w:space="1" w:color="auto" w:shadow="1"/>
          <w:left w:val="single" w:sz="4" w:space="0" w:color="auto" w:shadow="1"/>
          <w:bottom w:val="single" w:sz="4" w:space="1" w:color="auto" w:shadow="1"/>
          <w:right w:val="single" w:sz="4" w:space="0" w:color="auto" w:shadow="1"/>
        </w:pBdr>
        <w:jc w:val="both"/>
        <w:textAlignment w:val="center"/>
        <w:rPr>
          <w:rFonts w:asciiTheme="minorHAnsi" w:hAnsiTheme="minorHAnsi"/>
          <w:bCs/>
          <w:color w:val="000000" w:themeColor="text1"/>
          <w:sz w:val="19"/>
          <w:szCs w:val="19"/>
        </w:rPr>
      </w:pPr>
    </w:p>
    <w:p w14:paraId="7BC8AB7B" w14:textId="3FCE7933" w:rsidR="00DB5D24" w:rsidRPr="003130B7" w:rsidRDefault="00DB5D24" w:rsidP="00DB5D24">
      <w:pPr>
        <w:pBdr>
          <w:top w:val="single" w:sz="4" w:space="1" w:color="auto" w:shadow="1"/>
          <w:left w:val="single" w:sz="4" w:space="0" w:color="auto" w:shadow="1"/>
          <w:bottom w:val="single" w:sz="4" w:space="1" w:color="auto" w:shadow="1"/>
          <w:right w:val="single" w:sz="4" w:space="0" w:color="auto" w:shadow="1"/>
        </w:pBdr>
        <w:jc w:val="both"/>
        <w:textAlignment w:val="center"/>
        <w:rPr>
          <w:rFonts w:asciiTheme="minorHAnsi" w:hAnsiTheme="minorHAnsi"/>
          <w:bCs/>
          <w:color w:val="000000" w:themeColor="text1"/>
          <w:sz w:val="19"/>
          <w:szCs w:val="19"/>
        </w:rPr>
      </w:pPr>
      <w:proofErr w:type="spellStart"/>
      <w:r w:rsidRPr="003130B7">
        <w:rPr>
          <w:rFonts w:asciiTheme="minorHAnsi" w:hAnsiTheme="minorHAnsi"/>
          <w:bCs/>
          <w:color w:val="000000" w:themeColor="text1"/>
          <w:sz w:val="19"/>
          <w:szCs w:val="19"/>
        </w:rPr>
        <w:t>Nacionalni</w:t>
      </w:r>
      <w:proofErr w:type="spellEnd"/>
      <w:r w:rsidRPr="003130B7">
        <w:rPr>
          <w:rFonts w:asciiTheme="minorHAnsi" w:hAnsiTheme="minorHAnsi"/>
          <w:bCs/>
          <w:color w:val="000000" w:themeColor="text1"/>
          <w:sz w:val="19"/>
          <w:szCs w:val="19"/>
        </w:rPr>
        <w:t xml:space="preserve"> </w:t>
      </w:r>
      <w:proofErr w:type="spellStart"/>
      <w:r w:rsidRPr="003130B7">
        <w:rPr>
          <w:rFonts w:asciiTheme="minorHAnsi" w:hAnsiTheme="minorHAnsi"/>
          <w:bCs/>
          <w:color w:val="000000" w:themeColor="text1"/>
          <w:sz w:val="19"/>
          <w:szCs w:val="19"/>
        </w:rPr>
        <w:t>ciljevi</w:t>
      </w:r>
      <w:proofErr w:type="spellEnd"/>
      <w:r w:rsidRPr="003130B7">
        <w:rPr>
          <w:rFonts w:asciiTheme="minorHAnsi" w:hAnsiTheme="minorHAnsi"/>
          <w:bCs/>
          <w:color w:val="000000" w:themeColor="text1"/>
          <w:sz w:val="19"/>
          <w:szCs w:val="19"/>
        </w:rPr>
        <w:t xml:space="preserve"> </w:t>
      </w:r>
      <w:proofErr w:type="spellStart"/>
      <w:r w:rsidRPr="003130B7">
        <w:rPr>
          <w:rFonts w:asciiTheme="minorHAnsi" w:hAnsiTheme="minorHAnsi"/>
          <w:bCs/>
          <w:color w:val="000000" w:themeColor="text1"/>
          <w:sz w:val="19"/>
          <w:szCs w:val="19"/>
        </w:rPr>
        <w:t>definisani</w:t>
      </w:r>
      <w:proofErr w:type="spellEnd"/>
      <w:r w:rsidRPr="003130B7">
        <w:rPr>
          <w:rFonts w:asciiTheme="minorHAnsi" w:hAnsiTheme="minorHAnsi"/>
          <w:bCs/>
          <w:color w:val="000000" w:themeColor="text1"/>
          <w:sz w:val="19"/>
          <w:szCs w:val="19"/>
        </w:rPr>
        <w:t xml:space="preserve"> </w:t>
      </w:r>
      <w:proofErr w:type="spellStart"/>
      <w:r w:rsidRPr="003130B7">
        <w:rPr>
          <w:rFonts w:asciiTheme="minorHAnsi" w:hAnsiTheme="minorHAnsi"/>
          <w:bCs/>
          <w:color w:val="000000" w:themeColor="text1"/>
          <w:sz w:val="19"/>
          <w:szCs w:val="19"/>
        </w:rPr>
        <w:t>Strategijom</w:t>
      </w:r>
      <w:proofErr w:type="spellEnd"/>
      <w:r w:rsidRPr="003130B7">
        <w:rPr>
          <w:rFonts w:asciiTheme="minorHAnsi" w:hAnsiTheme="minorHAnsi"/>
          <w:bCs/>
          <w:color w:val="000000" w:themeColor="text1"/>
          <w:sz w:val="19"/>
          <w:szCs w:val="19"/>
        </w:rPr>
        <w:t xml:space="preserve"> </w:t>
      </w:r>
      <w:proofErr w:type="spellStart"/>
      <w:r w:rsidRPr="003130B7">
        <w:rPr>
          <w:rFonts w:asciiTheme="minorHAnsi" w:hAnsiTheme="minorHAnsi"/>
          <w:bCs/>
          <w:color w:val="000000" w:themeColor="text1"/>
          <w:sz w:val="19"/>
          <w:szCs w:val="19"/>
        </w:rPr>
        <w:t>obrazovanja</w:t>
      </w:r>
      <w:proofErr w:type="spellEnd"/>
      <w:r w:rsidRPr="003130B7">
        <w:rPr>
          <w:rFonts w:asciiTheme="minorHAnsi" w:hAnsiTheme="minorHAnsi"/>
          <w:bCs/>
          <w:color w:val="000000" w:themeColor="text1"/>
          <w:sz w:val="19"/>
          <w:szCs w:val="19"/>
        </w:rPr>
        <w:t xml:space="preserve"> 2020</w:t>
      </w:r>
      <w:r w:rsidR="002A5686">
        <w:rPr>
          <w:rFonts w:asciiTheme="minorHAnsi" w:hAnsiTheme="minorHAnsi"/>
          <w:bCs/>
          <w:color w:val="000000" w:themeColor="text1"/>
          <w:sz w:val="19"/>
          <w:szCs w:val="19"/>
        </w:rPr>
        <w:t>.</w:t>
      </w:r>
      <w:r w:rsidRPr="003130B7">
        <w:rPr>
          <w:rFonts w:asciiTheme="minorHAnsi" w:hAnsiTheme="minorHAnsi"/>
          <w:bCs/>
          <w:color w:val="000000" w:themeColor="text1"/>
          <w:sz w:val="19"/>
          <w:szCs w:val="19"/>
        </w:rPr>
        <w:t xml:space="preserve"> </w:t>
      </w:r>
      <w:proofErr w:type="spellStart"/>
      <w:r w:rsidRPr="003130B7">
        <w:rPr>
          <w:rFonts w:asciiTheme="minorHAnsi" w:hAnsiTheme="minorHAnsi"/>
          <w:bCs/>
          <w:color w:val="000000" w:themeColor="text1"/>
          <w:sz w:val="19"/>
          <w:szCs w:val="19"/>
        </w:rPr>
        <w:t>su</w:t>
      </w:r>
      <w:proofErr w:type="spellEnd"/>
      <w:r w:rsidRPr="003130B7">
        <w:rPr>
          <w:rFonts w:asciiTheme="minorHAnsi" w:hAnsiTheme="minorHAnsi"/>
          <w:bCs/>
          <w:color w:val="000000" w:themeColor="text1"/>
          <w:sz w:val="19"/>
          <w:szCs w:val="19"/>
        </w:rPr>
        <w:t xml:space="preserve"> </w:t>
      </w:r>
      <w:proofErr w:type="spellStart"/>
      <w:r w:rsidRPr="003130B7">
        <w:rPr>
          <w:rFonts w:asciiTheme="minorHAnsi" w:hAnsiTheme="minorHAnsi"/>
          <w:bCs/>
          <w:color w:val="000000" w:themeColor="text1"/>
          <w:sz w:val="19"/>
          <w:szCs w:val="19"/>
        </w:rPr>
        <w:t>povećanje</w:t>
      </w:r>
      <w:proofErr w:type="spellEnd"/>
      <w:r w:rsidRPr="003130B7">
        <w:rPr>
          <w:rFonts w:asciiTheme="minorHAnsi" w:hAnsiTheme="minorHAnsi"/>
          <w:bCs/>
          <w:color w:val="000000" w:themeColor="text1"/>
          <w:sz w:val="19"/>
          <w:szCs w:val="19"/>
        </w:rPr>
        <w:t xml:space="preserve"> </w:t>
      </w:r>
      <w:proofErr w:type="spellStart"/>
      <w:r w:rsidRPr="003130B7">
        <w:rPr>
          <w:rFonts w:asciiTheme="minorHAnsi" w:hAnsiTheme="minorHAnsi"/>
          <w:bCs/>
          <w:color w:val="000000" w:themeColor="text1"/>
          <w:sz w:val="19"/>
          <w:szCs w:val="19"/>
        </w:rPr>
        <w:t>obuhvata</w:t>
      </w:r>
      <w:proofErr w:type="spellEnd"/>
      <w:r w:rsidRPr="003130B7">
        <w:rPr>
          <w:rFonts w:asciiTheme="minorHAnsi" w:hAnsiTheme="minorHAnsi"/>
          <w:bCs/>
          <w:color w:val="000000" w:themeColor="text1"/>
          <w:sz w:val="19"/>
          <w:szCs w:val="19"/>
        </w:rPr>
        <w:t xml:space="preserve"> </w:t>
      </w:r>
      <w:proofErr w:type="spellStart"/>
      <w:r w:rsidRPr="003130B7">
        <w:rPr>
          <w:rFonts w:asciiTheme="minorHAnsi" w:hAnsiTheme="minorHAnsi"/>
          <w:bCs/>
          <w:color w:val="000000" w:themeColor="text1"/>
          <w:sz w:val="19"/>
          <w:szCs w:val="19"/>
        </w:rPr>
        <w:t>i</w:t>
      </w:r>
      <w:proofErr w:type="spellEnd"/>
      <w:r w:rsidRPr="003130B7">
        <w:rPr>
          <w:rFonts w:asciiTheme="minorHAnsi" w:hAnsiTheme="minorHAnsi"/>
          <w:bCs/>
          <w:color w:val="000000" w:themeColor="text1"/>
          <w:sz w:val="19"/>
          <w:szCs w:val="19"/>
        </w:rPr>
        <w:t xml:space="preserve"> </w:t>
      </w:r>
      <w:proofErr w:type="spellStart"/>
      <w:r w:rsidRPr="003130B7">
        <w:rPr>
          <w:rFonts w:asciiTheme="minorHAnsi" w:hAnsiTheme="minorHAnsi"/>
          <w:bCs/>
          <w:color w:val="000000" w:themeColor="text1"/>
          <w:sz w:val="19"/>
          <w:szCs w:val="19"/>
        </w:rPr>
        <w:t>dostupnosti</w:t>
      </w:r>
      <w:proofErr w:type="spellEnd"/>
      <w:r w:rsidRPr="003130B7">
        <w:rPr>
          <w:rFonts w:asciiTheme="minorHAnsi" w:hAnsiTheme="minorHAnsi"/>
          <w:bCs/>
          <w:color w:val="000000" w:themeColor="text1"/>
          <w:sz w:val="19"/>
          <w:szCs w:val="19"/>
        </w:rPr>
        <w:t xml:space="preserve"> POV </w:t>
      </w:r>
      <w:proofErr w:type="spellStart"/>
      <w:r w:rsidRPr="003130B7">
        <w:rPr>
          <w:rFonts w:asciiTheme="minorHAnsi" w:hAnsiTheme="minorHAnsi"/>
          <w:bCs/>
          <w:color w:val="000000" w:themeColor="text1"/>
          <w:sz w:val="19"/>
          <w:szCs w:val="19"/>
        </w:rPr>
        <w:t>na</w:t>
      </w:r>
      <w:proofErr w:type="spellEnd"/>
      <w:r w:rsidRPr="003130B7">
        <w:rPr>
          <w:rFonts w:asciiTheme="minorHAnsi" w:hAnsiTheme="minorHAnsi"/>
          <w:sz w:val="19"/>
          <w:szCs w:val="19"/>
        </w:rPr>
        <w:t xml:space="preserve"> 30% za </w:t>
      </w:r>
      <w:proofErr w:type="spellStart"/>
      <w:r w:rsidRPr="003130B7">
        <w:rPr>
          <w:rFonts w:asciiTheme="minorHAnsi" w:hAnsiTheme="minorHAnsi"/>
          <w:sz w:val="19"/>
          <w:szCs w:val="19"/>
        </w:rPr>
        <w:t>jasleni</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uzrast</w:t>
      </w:r>
      <w:proofErr w:type="spellEnd"/>
      <w:r w:rsidRPr="003130B7">
        <w:rPr>
          <w:rFonts w:asciiTheme="minorHAnsi" w:hAnsiTheme="minorHAnsi"/>
          <w:sz w:val="19"/>
          <w:szCs w:val="19"/>
        </w:rPr>
        <w:t xml:space="preserve">, 46% za </w:t>
      </w:r>
      <w:proofErr w:type="spellStart"/>
      <w:r w:rsidRPr="003130B7">
        <w:rPr>
          <w:rFonts w:asciiTheme="minorHAnsi" w:hAnsiTheme="minorHAnsi"/>
          <w:sz w:val="19"/>
          <w:szCs w:val="19"/>
        </w:rPr>
        <w:t>uzrast</w:t>
      </w:r>
      <w:proofErr w:type="spellEnd"/>
      <w:r w:rsidRPr="003130B7">
        <w:rPr>
          <w:rFonts w:asciiTheme="minorHAnsi" w:hAnsiTheme="minorHAnsi"/>
          <w:sz w:val="19"/>
          <w:szCs w:val="19"/>
        </w:rPr>
        <w:t xml:space="preserve"> od 3-4 </w:t>
      </w:r>
      <w:proofErr w:type="spellStart"/>
      <w:r w:rsidRPr="003130B7">
        <w:rPr>
          <w:rFonts w:asciiTheme="minorHAnsi" w:hAnsiTheme="minorHAnsi"/>
          <w:sz w:val="19"/>
          <w:szCs w:val="19"/>
        </w:rPr>
        <w:t>godine</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i</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potpun</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obuvat</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dece</w:t>
      </w:r>
      <w:proofErr w:type="spellEnd"/>
      <w:r w:rsidRPr="003130B7">
        <w:rPr>
          <w:rFonts w:asciiTheme="minorHAnsi" w:hAnsiTheme="minorHAnsi"/>
          <w:sz w:val="19"/>
          <w:szCs w:val="19"/>
        </w:rPr>
        <w:t xml:space="preserve"> 4+ </w:t>
      </w:r>
      <w:proofErr w:type="spellStart"/>
      <w:r w:rsidRPr="003130B7">
        <w:rPr>
          <w:rFonts w:asciiTheme="minorHAnsi" w:hAnsiTheme="minorHAnsi"/>
          <w:sz w:val="19"/>
          <w:szCs w:val="19"/>
        </w:rPr>
        <w:t>besplatnim</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poludnevnim</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programom</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nalik</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na</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postojeći</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obavezni</w:t>
      </w:r>
      <w:proofErr w:type="spellEnd"/>
      <w:r w:rsidRPr="003130B7">
        <w:rPr>
          <w:rFonts w:asciiTheme="minorHAnsi" w:hAnsiTheme="minorHAnsi"/>
          <w:sz w:val="19"/>
          <w:szCs w:val="19"/>
        </w:rPr>
        <w:t xml:space="preserve"> PPP</w:t>
      </w:r>
      <w:r w:rsidRPr="003130B7">
        <w:rPr>
          <w:rStyle w:val="FootnoteReference"/>
          <w:rFonts w:asciiTheme="minorHAnsi" w:hAnsiTheme="minorHAnsi"/>
          <w:bCs/>
          <w:color w:val="000000" w:themeColor="text1"/>
          <w:sz w:val="19"/>
          <w:szCs w:val="19"/>
        </w:rPr>
        <w:footnoteReference w:id="13"/>
      </w:r>
      <w:r w:rsidRPr="003130B7">
        <w:rPr>
          <w:rFonts w:asciiTheme="minorHAnsi" w:hAnsiTheme="minorHAnsi"/>
          <w:sz w:val="19"/>
          <w:szCs w:val="19"/>
        </w:rPr>
        <w:t xml:space="preserve">. I </w:t>
      </w:r>
      <w:proofErr w:type="spellStart"/>
      <w:r w:rsidRPr="003130B7">
        <w:rPr>
          <w:rFonts w:asciiTheme="minorHAnsi" w:hAnsiTheme="minorHAnsi"/>
          <w:sz w:val="19"/>
          <w:szCs w:val="19"/>
        </w:rPr>
        <w:t>pored</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stabilnog</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rasta</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obuhvata</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poslednjih</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godina</w:t>
      </w:r>
      <w:proofErr w:type="spellEnd"/>
      <w:r w:rsidRPr="003130B7">
        <w:rPr>
          <w:rFonts w:asciiTheme="minorHAnsi" w:hAnsiTheme="minorHAnsi"/>
          <w:sz w:val="19"/>
          <w:szCs w:val="19"/>
        </w:rPr>
        <w:t xml:space="preserve"> on je </w:t>
      </w:r>
      <w:proofErr w:type="spellStart"/>
      <w:r w:rsidRPr="003130B7">
        <w:rPr>
          <w:rFonts w:asciiTheme="minorHAnsi" w:hAnsiTheme="minorHAnsi"/>
          <w:sz w:val="19"/>
          <w:szCs w:val="19"/>
        </w:rPr>
        <w:t>dalje</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ispod</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proseka</w:t>
      </w:r>
      <w:proofErr w:type="spellEnd"/>
      <w:r w:rsidRPr="003130B7">
        <w:rPr>
          <w:rFonts w:asciiTheme="minorHAnsi" w:hAnsiTheme="minorHAnsi"/>
          <w:sz w:val="19"/>
          <w:szCs w:val="19"/>
        </w:rPr>
        <w:t xml:space="preserve"> EU </w:t>
      </w:r>
      <w:proofErr w:type="spellStart"/>
      <w:r w:rsidRPr="003130B7">
        <w:rPr>
          <w:rFonts w:asciiTheme="minorHAnsi" w:hAnsiTheme="minorHAnsi"/>
          <w:sz w:val="19"/>
          <w:szCs w:val="19"/>
        </w:rPr>
        <w:t>i</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postavljenih</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nacionalnih</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ciljeva</w:t>
      </w:r>
      <w:proofErr w:type="spellEnd"/>
      <w:r w:rsidRPr="003130B7">
        <w:rPr>
          <w:rFonts w:asciiTheme="minorHAnsi" w:hAnsiTheme="minorHAnsi"/>
          <w:sz w:val="19"/>
          <w:szCs w:val="19"/>
        </w:rPr>
        <w:t xml:space="preserve"> a </w:t>
      </w:r>
      <w:proofErr w:type="spellStart"/>
      <w:r w:rsidRPr="003130B7">
        <w:rPr>
          <w:rFonts w:asciiTheme="minorHAnsi" w:hAnsiTheme="minorHAnsi"/>
          <w:sz w:val="19"/>
          <w:szCs w:val="19"/>
        </w:rPr>
        <w:t>poseban</w:t>
      </w:r>
      <w:proofErr w:type="spellEnd"/>
      <w:r w:rsidRPr="003130B7">
        <w:rPr>
          <w:rFonts w:asciiTheme="minorHAnsi" w:hAnsiTheme="minorHAnsi"/>
          <w:sz w:val="19"/>
          <w:szCs w:val="19"/>
        </w:rPr>
        <w:t xml:space="preserve"> problem je </w:t>
      </w:r>
      <w:proofErr w:type="spellStart"/>
      <w:r w:rsidRPr="003130B7">
        <w:rPr>
          <w:rFonts w:asciiTheme="minorHAnsi" w:hAnsiTheme="minorHAnsi"/>
          <w:sz w:val="19"/>
          <w:szCs w:val="19"/>
        </w:rPr>
        <w:t>povećanje</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obuhvata</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na</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uštrab</w:t>
      </w:r>
      <w:proofErr w:type="spellEnd"/>
      <w:r w:rsidRPr="003130B7">
        <w:rPr>
          <w:rFonts w:asciiTheme="minorHAnsi" w:hAnsiTheme="minorHAnsi"/>
          <w:sz w:val="19"/>
          <w:szCs w:val="19"/>
        </w:rPr>
        <w:t xml:space="preserve"> </w:t>
      </w:r>
      <w:proofErr w:type="spellStart"/>
      <w:r w:rsidRPr="003130B7">
        <w:rPr>
          <w:rFonts w:asciiTheme="minorHAnsi" w:hAnsiTheme="minorHAnsi"/>
          <w:sz w:val="19"/>
          <w:szCs w:val="19"/>
        </w:rPr>
        <w:t>kvaliteta</w:t>
      </w:r>
      <w:proofErr w:type="spellEnd"/>
      <w:r w:rsidRPr="003130B7">
        <w:rPr>
          <w:rFonts w:asciiTheme="minorHAnsi" w:hAnsiTheme="minorHAnsi"/>
          <w:sz w:val="19"/>
          <w:szCs w:val="19"/>
        </w:rPr>
        <w:t xml:space="preserve">. </w:t>
      </w:r>
    </w:p>
    <w:p w14:paraId="5C6797ED" w14:textId="77777777" w:rsidR="00DB5D24" w:rsidRPr="003130B7" w:rsidRDefault="00DB5D24" w:rsidP="00DB5D24">
      <w:pPr>
        <w:pBdr>
          <w:top w:val="single" w:sz="4" w:space="1" w:color="auto" w:shadow="1"/>
          <w:left w:val="single" w:sz="4" w:space="0" w:color="auto" w:shadow="1"/>
          <w:bottom w:val="single" w:sz="4" w:space="1" w:color="auto" w:shadow="1"/>
          <w:right w:val="single" w:sz="4" w:space="0" w:color="auto" w:shadow="1"/>
        </w:pBdr>
        <w:jc w:val="both"/>
        <w:textAlignment w:val="center"/>
        <w:rPr>
          <w:rFonts w:asciiTheme="minorHAnsi" w:hAnsiTheme="minorHAnsi"/>
          <w:bCs/>
          <w:color w:val="000000" w:themeColor="text1"/>
          <w:sz w:val="19"/>
          <w:szCs w:val="19"/>
        </w:rPr>
      </w:pPr>
    </w:p>
    <w:p w14:paraId="0D3C3DE3" w14:textId="77777777" w:rsidR="00DB5D24" w:rsidRPr="003130B7" w:rsidRDefault="00DB5D24" w:rsidP="00DB5D24">
      <w:pPr>
        <w:pBdr>
          <w:top w:val="single" w:sz="4" w:space="1" w:color="auto" w:shadow="1"/>
          <w:left w:val="single" w:sz="4" w:space="0" w:color="auto" w:shadow="1"/>
          <w:bottom w:val="single" w:sz="4" w:space="1" w:color="auto" w:shadow="1"/>
          <w:right w:val="single" w:sz="4" w:space="0" w:color="auto" w:shadow="1"/>
        </w:pBdr>
        <w:jc w:val="both"/>
        <w:textAlignment w:val="center"/>
        <w:rPr>
          <w:rFonts w:asciiTheme="minorHAnsi" w:hAnsiTheme="minorHAnsi"/>
          <w:i/>
          <w:sz w:val="19"/>
          <w:szCs w:val="19"/>
        </w:rPr>
      </w:pPr>
      <w:r w:rsidRPr="003130B7">
        <w:rPr>
          <w:rFonts w:asciiTheme="minorHAnsi" w:hAnsiTheme="minorHAnsi"/>
          <w:bCs/>
          <w:color w:val="000000" w:themeColor="text1"/>
          <w:sz w:val="19"/>
          <w:szCs w:val="19"/>
        </w:rPr>
        <w:t xml:space="preserve">Pored </w:t>
      </w:r>
      <w:proofErr w:type="spellStart"/>
      <w:r w:rsidRPr="003130B7">
        <w:rPr>
          <w:rFonts w:asciiTheme="minorHAnsi" w:hAnsiTheme="minorHAnsi"/>
          <w:bCs/>
          <w:color w:val="000000" w:themeColor="text1"/>
          <w:sz w:val="19"/>
          <w:szCs w:val="19"/>
        </w:rPr>
        <w:t>već</w:t>
      </w:r>
      <w:proofErr w:type="spellEnd"/>
      <w:r w:rsidRPr="003130B7">
        <w:rPr>
          <w:rFonts w:asciiTheme="minorHAnsi" w:hAnsiTheme="minorHAnsi"/>
          <w:bCs/>
          <w:color w:val="000000" w:themeColor="text1"/>
          <w:sz w:val="19"/>
          <w:szCs w:val="19"/>
        </w:rPr>
        <w:t xml:space="preserve"> </w:t>
      </w:r>
      <w:proofErr w:type="spellStart"/>
      <w:r w:rsidRPr="003130B7">
        <w:rPr>
          <w:rFonts w:asciiTheme="minorHAnsi" w:hAnsiTheme="minorHAnsi"/>
          <w:bCs/>
          <w:color w:val="000000" w:themeColor="text1"/>
          <w:sz w:val="19"/>
          <w:szCs w:val="19"/>
        </w:rPr>
        <w:t>definisanog</w:t>
      </w:r>
      <w:proofErr w:type="spellEnd"/>
      <w:r w:rsidRPr="003130B7">
        <w:rPr>
          <w:rFonts w:asciiTheme="minorHAnsi" w:hAnsiTheme="minorHAnsi"/>
          <w:bCs/>
          <w:color w:val="000000" w:themeColor="text1"/>
          <w:sz w:val="19"/>
          <w:szCs w:val="19"/>
        </w:rPr>
        <w:t xml:space="preserve"> </w:t>
      </w:r>
      <w:proofErr w:type="spellStart"/>
      <w:r w:rsidRPr="003130B7">
        <w:rPr>
          <w:rFonts w:asciiTheme="minorHAnsi" w:hAnsiTheme="minorHAnsi"/>
          <w:bCs/>
          <w:color w:val="000000" w:themeColor="text1"/>
          <w:sz w:val="19"/>
          <w:szCs w:val="19"/>
        </w:rPr>
        <w:t>indikatora</w:t>
      </w:r>
      <w:proofErr w:type="spellEnd"/>
      <w:r w:rsidRPr="003130B7">
        <w:rPr>
          <w:rFonts w:asciiTheme="minorHAnsi" w:hAnsiTheme="minorHAnsi"/>
          <w:bCs/>
          <w:color w:val="000000" w:themeColor="text1"/>
          <w:sz w:val="19"/>
          <w:szCs w:val="19"/>
        </w:rPr>
        <w:t xml:space="preserve"> 4.2.2 </w:t>
      </w:r>
      <w:proofErr w:type="spellStart"/>
      <w:r w:rsidRPr="003130B7">
        <w:rPr>
          <w:rFonts w:asciiTheme="minorHAnsi" w:hAnsiTheme="minorHAnsi"/>
          <w:bCs/>
          <w:i/>
          <w:color w:val="000000" w:themeColor="text1"/>
          <w:sz w:val="19"/>
          <w:szCs w:val="19"/>
        </w:rPr>
        <w:t>Stopa</w:t>
      </w:r>
      <w:proofErr w:type="spellEnd"/>
      <w:r w:rsidRPr="003130B7">
        <w:rPr>
          <w:rFonts w:asciiTheme="minorHAnsi" w:hAnsiTheme="minorHAnsi"/>
          <w:bCs/>
          <w:i/>
          <w:color w:val="000000" w:themeColor="text1"/>
          <w:sz w:val="19"/>
          <w:szCs w:val="19"/>
        </w:rPr>
        <w:t xml:space="preserve"> </w:t>
      </w:r>
      <w:proofErr w:type="spellStart"/>
      <w:r w:rsidRPr="003130B7">
        <w:rPr>
          <w:rFonts w:asciiTheme="minorHAnsi" w:hAnsiTheme="minorHAnsi"/>
          <w:bCs/>
          <w:i/>
          <w:color w:val="000000" w:themeColor="text1"/>
          <w:sz w:val="19"/>
          <w:szCs w:val="19"/>
        </w:rPr>
        <w:t>učešća</w:t>
      </w:r>
      <w:proofErr w:type="spellEnd"/>
      <w:r w:rsidRPr="003130B7">
        <w:rPr>
          <w:rFonts w:asciiTheme="minorHAnsi" w:hAnsiTheme="minorHAnsi"/>
          <w:bCs/>
          <w:i/>
          <w:color w:val="000000" w:themeColor="text1"/>
          <w:sz w:val="19"/>
          <w:szCs w:val="19"/>
        </w:rPr>
        <w:t xml:space="preserve"> u </w:t>
      </w:r>
      <w:proofErr w:type="spellStart"/>
      <w:r w:rsidRPr="003130B7">
        <w:rPr>
          <w:rFonts w:asciiTheme="minorHAnsi" w:hAnsiTheme="minorHAnsi"/>
          <w:bCs/>
          <w:i/>
          <w:color w:val="000000" w:themeColor="text1"/>
          <w:sz w:val="19"/>
          <w:szCs w:val="19"/>
        </w:rPr>
        <w:t>organizovanom</w:t>
      </w:r>
      <w:proofErr w:type="spellEnd"/>
      <w:r w:rsidRPr="003130B7">
        <w:rPr>
          <w:rFonts w:asciiTheme="minorHAnsi" w:hAnsiTheme="minorHAnsi"/>
          <w:bCs/>
          <w:i/>
          <w:color w:val="000000" w:themeColor="text1"/>
          <w:sz w:val="19"/>
          <w:szCs w:val="19"/>
        </w:rPr>
        <w:t xml:space="preserve"> </w:t>
      </w:r>
      <w:proofErr w:type="spellStart"/>
      <w:r w:rsidRPr="003130B7">
        <w:rPr>
          <w:rFonts w:asciiTheme="minorHAnsi" w:hAnsiTheme="minorHAnsi"/>
          <w:bCs/>
          <w:i/>
          <w:color w:val="000000" w:themeColor="text1"/>
          <w:sz w:val="19"/>
          <w:szCs w:val="19"/>
        </w:rPr>
        <w:t>učenju</w:t>
      </w:r>
      <w:proofErr w:type="spellEnd"/>
      <w:r w:rsidRPr="003130B7">
        <w:rPr>
          <w:rFonts w:asciiTheme="minorHAnsi" w:hAnsiTheme="minorHAnsi"/>
          <w:bCs/>
          <w:i/>
          <w:color w:val="000000" w:themeColor="text1"/>
          <w:sz w:val="19"/>
          <w:szCs w:val="19"/>
        </w:rPr>
        <w:t xml:space="preserve"> (</w:t>
      </w:r>
      <w:proofErr w:type="spellStart"/>
      <w:r w:rsidRPr="003130B7">
        <w:rPr>
          <w:rFonts w:asciiTheme="minorHAnsi" w:hAnsiTheme="minorHAnsi"/>
          <w:bCs/>
          <w:i/>
          <w:color w:val="000000" w:themeColor="text1"/>
          <w:sz w:val="19"/>
          <w:szCs w:val="19"/>
        </w:rPr>
        <w:t>godinu</w:t>
      </w:r>
      <w:proofErr w:type="spellEnd"/>
      <w:r w:rsidRPr="003130B7">
        <w:rPr>
          <w:rFonts w:asciiTheme="minorHAnsi" w:hAnsiTheme="minorHAnsi"/>
          <w:bCs/>
          <w:i/>
          <w:color w:val="000000" w:themeColor="text1"/>
          <w:sz w:val="19"/>
          <w:szCs w:val="19"/>
        </w:rPr>
        <w:t xml:space="preserve"> dana pre </w:t>
      </w:r>
      <w:proofErr w:type="spellStart"/>
      <w:r w:rsidRPr="003130B7">
        <w:rPr>
          <w:rFonts w:asciiTheme="minorHAnsi" w:hAnsiTheme="minorHAnsi"/>
          <w:bCs/>
          <w:i/>
          <w:color w:val="000000" w:themeColor="text1"/>
          <w:sz w:val="19"/>
          <w:szCs w:val="19"/>
        </w:rPr>
        <w:t>zvaničnog</w:t>
      </w:r>
      <w:proofErr w:type="spellEnd"/>
      <w:r w:rsidRPr="003130B7">
        <w:rPr>
          <w:rFonts w:asciiTheme="minorHAnsi" w:hAnsiTheme="minorHAnsi"/>
          <w:bCs/>
          <w:i/>
          <w:color w:val="000000" w:themeColor="text1"/>
          <w:sz w:val="19"/>
          <w:szCs w:val="19"/>
        </w:rPr>
        <w:t xml:space="preserve"> </w:t>
      </w:r>
      <w:proofErr w:type="spellStart"/>
      <w:r w:rsidRPr="003130B7">
        <w:rPr>
          <w:rFonts w:asciiTheme="minorHAnsi" w:hAnsiTheme="minorHAnsi"/>
          <w:bCs/>
          <w:i/>
          <w:color w:val="000000" w:themeColor="text1"/>
          <w:sz w:val="19"/>
          <w:szCs w:val="19"/>
        </w:rPr>
        <w:t>uzrasta</w:t>
      </w:r>
      <w:proofErr w:type="spellEnd"/>
      <w:r w:rsidRPr="003130B7">
        <w:rPr>
          <w:rFonts w:asciiTheme="minorHAnsi" w:hAnsiTheme="minorHAnsi"/>
          <w:bCs/>
          <w:i/>
          <w:color w:val="000000" w:themeColor="text1"/>
          <w:sz w:val="19"/>
          <w:szCs w:val="19"/>
        </w:rPr>
        <w:t xml:space="preserve"> za </w:t>
      </w:r>
      <w:proofErr w:type="spellStart"/>
      <w:r w:rsidRPr="003130B7">
        <w:rPr>
          <w:rFonts w:asciiTheme="minorHAnsi" w:hAnsiTheme="minorHAnsi"/>
          <w:bCs/>
          <w:i/>
          <w:color w:val="000000" w:themeColor="text1"/>
          <w:sz w:val="19"/>
          <w:szCs w:val="19"/>
        </w:rPr>
        <w:t>upis</w:t>
      </w:r>
      <w:proofErr w:type="spellEnd"/>
      <w:r w:rsidRPr="003130B7">
        <w:rPr>
          <w:rFonts w:asciiTheme="minorHAnsi" w:hAnsiTheme="minorHAnsi"/>
          <w:bCs/>
          <w:i/>
          <w:color w:val="000000" w:themeColor="text1"/>
          <w:sz w:val="19"/>
          <w:szCs w:val="19"/>
        </w:rPr>
        <w:t xml:space="preserve"> u </w:t>
      </w:r>
      <w:proofErr w:type="spellStart"/>
      <w:r w:rsidRPr="003130B7">
        <w:rPr>
          <w:rFonts w:asciiTheme="minorHAnsi" w:hAnsiTheme="minorHAnsi"/>
          <w:bCs/>
          <w:i/>
          <w:color w:val="000000" w:themeColor="text1"/>
          <w:sz w:val="19"/>
          <w:szCs w:val="19"/>
        </w:rPr>
        <w:t>osnovnu</w:t>
      </w:r>
      <w:proofErr w:type="spellEnd"/>
      <w:r w:rsidRPr="003130B7">
        <w:rPr>
          <w:rFonts w:asciiTheme="minorHAnsi" w:hAnsiTheme="minorHAnsi"/>
          <w:bCs/>
          <w:i/>
          <w:color w:val="000000" w:themeColor="text1"/>
          <w:sz w:val="19"/>
          <w:szCs w:val="19"/>
        </w:rPr>
        <w:t xml:space="preserve"> </w:t>
      </w:r>
      <w:proofErr w:type="spellStart"/>
      <w:r w:rsidRPr="003130B7">
        <w:rPr>
          <w:rFonts w:asciiTheme="minorHAnsi" w:hAnsiTheme="minorHAnsi"/>
          <w:bCs/>
          <w:i/>
          <w:color w:val="000000" w:themeColor="text1"/>
          <w:sz w:val="19"/>
          <w:szCs w:val="19"/>
        </w:rPr>
        <w:t>školu</w:t>
      </w:r>
      <w:proofErr w:type="spellEnd"/>
      <w:r w:rsidRPr="003130B7">
        <w:rPr>
          <w:rFonts w:asciiTheme="minorHAnsi" w:hAnsiTheme="minorHAnsi"/>
          <w:bCs/>
          <w:i/>
          <w:color w:val="000000" w:themeColor="text1"/>
          <w:sz w:val="19"/>
          <w:szCs w:val="19"/>
        </w:rPr>
        <w:t>)</w:t>
      </w:r>
      <w:r w:rsidRPr="003130B7">
        <w:rPr>
          <w:rFonts w:asciiTheme="minorHAnsi" w:hAnsiTheme="minorHAnsi"/>
          <w:bCs/>
          <w:color w:val="000000" w:themeColor="text1"/>
          <w:sz w:val="19"/>
          <w:szCs w:val="19"/>
        </w:rPr>
        <w:t xml:space="preserve">, </w:t>
      </w:r>
      <w:proofErr w:type="spellStart"/>
      <w:r w:rsidRPr="003130B7">
        <w:rPr>
          <w:rFonts w:asciiTheme="minorHAnsi" w:hAnsiTheme="minorHAnsi"/>
          <w:bCs/>
          <w:color w:val="000000" w:themeColor="text1"/>
          <w:sz w:val="19"/>
          <w:szCs w:val="19"/>
        </w:rPr>
        <w:t>što</w:t>
      </w:r>
      <w:proofErr w:type="spellEnd"/>
      <w:r w:rsidRPr="003130B7">
        <w:rPr>
          <w:rFonts w:asciiTheme="minorHAnsi" w:hAnsiTheme="minorHAnsi"/>
          <w:bCs/>
          <w:color w:val="000000" w:themeColor="text1"/>
          <w:sz w:val="19"/>
          <w:szCs w:val="19"/>
        </w:rPr>
        <w:t xml:space="preserve"> je </w:t>
      </w:r>
      <w:proofErr w:type="spellStart"/>
      <w:r w:rsidRPr="003130B7">
        <w:rPr>
          <w:rFonts w:asciiTheme="minorHAnsi" w:hAnsiTheme="minorHAnsi"/>
          <w:bCs/>
          <w:color w:val="000000" w:themeColor="text1"/>
          <w:sz w:val="19"/>
          <w:szCs w:val="19"/>
        </w:rPr>
        <w:t>zapravo</w:t>
      </w:r>
      <w:proofErr w:type="spellEnd"/>
      <w:r w:rsidRPr="003130B7">
        <w:rPr>
          <w:rFonts w:asciiTheme="minorHAnsi" w:hAnsiTheme="minorHAnsi"/>
          <w:bCs/>
          <w:color w:val="000000" w:themeColor="text1"/>
          <w:sz w:val="19"/>
          <w:szCs w:val="19"/>
        </w:rPr>
        <w:t xml:space="preserve"> </w:t>
      </w:r>
      <w:proofErr w:type="spellStart"/>
      <w:r w:rsidRPr="003130B7">
        <w:rPr>
          <w:rFonts w:asciiTheme="minorHAnsi" w:hAnsiTheme="minorHAnsi"/>
          <w:bCs/>
          <w:color w:val="000000" w:themeColor="text1"/>
          <w:sz w:val="19"/>
          <w:szCs w:val="19"/>
        </w:rPr>
        <w:t>obuhvat</w:t>
      </w:r>
      <w:proofErr w:type="spellEnd"/>
      <w:r w:rsidRPr="003130B7">
        <w:rPr>
          <w:rFonts w:asciiTheme="minorHAnsi" w:hAnsiTheme="minorHAnsi"/>
          <w:bCs/>
          <w:color w:val="000000" w:themeColor="text1"/>
          <w:sz w:val="19"/>
          <w:szCs w:val="19"/>
        </w:rPr>
        <w:t xml:space="preserve"> PPP-om (</w:t>
      </w:r>
      <w:proofErr w:type="spellStart"/>
      <w:r w:rsidRPr="003130B7">
        <w:rPr>
          <w:rFonts w:asciiTheme="minorHAnsi" w:hAnsiTheme="minorHAnsi"/>
          <w:bCs/>
          <w:color w:val="000000" w:themeColor="text1"/>
          <w:sz w:val="19"/>
          <w:szCs w:val="19"/>
        </w:rPr>
        <w:t>pripremnim</w:t>
      </w:r>
      <w:proofErr w:type="spellEnd"/>
      <w:r w:rsidRPr="003130B7">
        <w:rPr>
          <w:rFonts w:asciiTheme="minorHAnsi" w:hAnsiTheme="minorHAnsi"/>
          <w:bCs/>
          <w:color w:val="000000" w:themeColor="text1"/>
          <w:sz w:val="19"/>
          <w:szCs w:val="19"/>
        </w:rPr>
        <w:t xml:space="preserve"> </w:t>
      </w:r>
      <w:proofErr w:type="spellStart"/>
      <w:r w:rsidRPr="003130B7">
        <w:rPr>
          <w:rFonts w:asciiTheme="minorHAnsi" w:hAnsiTheme="minorHAnsi"/>
          <w:bCs/>
          <w:color w:val="000000" w:themeColor="text1"/>
          <w:sz w:val="19"/>
          <w:szCs w:val="19"/>
        </w:rPr>
        <w:t>predškolskim</w:t>
      </w:r>
      <w:proofErr w:type="spellEnd"/>
      <w:r w:rsidRPr="003130B7">
        <w:rPr>
          <w:rFonts w:asciiTheme="minorHAnsi" w:hAnsiTheme="minorHAnsi"/>
          <w:bCs/>
          <w:color w:val="000000" w:themeColor="text1"/>
          <w:sz w:val="19"/>
          <w:szCs w:val="19"/>
        </w:rPr>
        <w:t xml:space="preserve"> </w:t>
      </w:r>
      <w:proofErr w:type="spellStart"/>
      <w:r w:rsidRPr="003130B7">
        <w:rPr>
          <w:rFonts w:asciiTheme="minorHAnsi" w:hAnsiTheme="minorHAnsi"/>
          <w:bCs/>
          <w:color w:val="000000" w:themeColor="text1"/>
          <w:sz w:val="19"/>
          <w:szCs w:val="19"/>
        </w:rPr>
        <w:t>programom</w:t>
      </w:r>
      <w:proofErr w:type="spellEnd"/>
      <w:r w:rsidRPr="003130B7">
        <w:rPr>
          <w:rFonts w:asciiTheme="minorHAnsi" w:hAnsiTheme="minorHAnsi"/>
          <w:bCs/>
          <w:color w:val="000000" w:themeColor="text1"/>
          <w:sz w:val="19"/>
          <w:szCs w:val="19"/>
        </w:rPr>
        <w:t xml:space="preserve">), </w:t>
      </w:r>
      <w:proofErr w:type="spellStart"/>
      <w:r w:rsidRPr="003130B7">
        <w:rPr>
          <w:rFonts w:asciiTheme="minorHAnsi" w:hAnsiTheme="minorHAnsi"/>
          <w:bCs/>
          <w:color w:val="000000" w:themeColor="text1"/>
          <w:sz w:val="19"/>
          <w:szCs w:val="19"/>
        </w:rPr>
        <w:t>treba</w:t>
      </w:r>
      <w:proofErr w:type="spellEnd"/>
      <w:r w:rsidRPr="003130B7">
        <w:rPr>
          <w:rFonts w:asciiTheme="minorHAnsi" w:hAnsiTheme="minorHAnsi"/>
          <w:bCs/>
          <w:color w:val="000000" w:themeColor="text1"/>
          <w:sz w:val="19"/>
          <w:szCs w:val="19"/>
        </w:rPr>
        <w:t xml:space="preserve"> </w:t>
      </w:r>
      <w:proofErr w:type="spellStart"/>
      <w:r w:rsidRPr="003130B7">
        <w:rPr>
          <w:rFonts w:asciiTheme="minorHAnsi" w:hAnsiTheme="minorHAnsi"/>
          <w:bCs/>
          <w:color w:val="000000" w:themeColor="text1"/>
          <w:sz w:val="19"/>
          <w:szCs w:val="19"/>
        </w:rPr>
        <w:t>posmatrati</w:t>
      </w:r>
      <w:proofErr w:type="spellEnd"/>
      <w:r w:rsidRPr="003130B7">
        <w:rPr>
          <w:rFonts w:asciiTheme="minorHAnsi" w:hAnsiTheme="minorHAnsi"/>
          <w:bCs/>
          <w:color w:val="000000" w:themeColor="text1"/>
          <w:sz w:val="19"/>
          <w:szCs w:val="19"/>
        </w:rPr>
        <w:t xml:space="preserve"> </w:t>
      </w:r>
      <w:proofErr w:type="spellStart"/>
      <w:r w:rsidRPr="003130B7">
        <w:rPr>
          <w:rFonts w:asciiTheme="minorHAnsi" w:hAnsiTheme="minorHAnsi"/>
          <w:bCs/>
          <w:color w:val="000000" w:themeColor="text1"/>
          <w:sz w:val="19"/>
          <w:szCs w:val="19"/>
        </w:rPr>
        <w:t>i</w:t>
      </w:r>
      <w:proofErr w:type="spellEnd"/>
      <w:r w:rsidRPr="003130B7">
        <w:rPr>
          <w:rFonts w:asciiTheme="minorHAnsi" w:hAnsiTheme="minorHAnsi"/>
          <w:bCs/>
          <w:color w:val="000000" w:themeColor="text1"/>
          <w:sz w:val="19"/>
          <w:szCs w:val="19"/>
        </w:rPr>
        <w:t xml:space="preserve"> </w:t>
      </w:r>
      <w:proofErr w:type="spellStart"/>
      <w:r w:rsidRPr="003130B7">
        <w:rPr>
          <w:rFonts w:asciiTheme="minorHAnsi" w:hAnsiTheme="minorHAnsi"/>
          <w:bCs/>
          <w:i/>
          <w:color w:val="000000" w:themeColor="text1"/>
          <w:sz w:val="19"/>
          <w:szCs w:val="19"/>
        </w:rPr>
        <w:t>indikatore</w:t>
      </w:r>
      <w:proofErr w:type="spellEnd"/>
      <w:r w:rsidRPr="003130B7">
        <w:rPr>
          <w:rFonts w:asciiTheme="minorHAnsi" w:hAnsiTheme="minorHAnsi"/>
          <w:bCs/>
          <w:i/>
          <w:color w:val="000000" w:themeColor="text1"/>
          <w:sz w:val="19"/>
          <w:szCs w:val="19"/>
        </w:rPr>
        <w:t xml:space="preserve"> </w:t>
      </w:r>
      <w:proofErr w:type="spellStart"/>
      <w:r w:rsidRPr="003130B7">
        <w:rPr>
          <w:rFonts w:asciiTheme="minorHAnsi" w:hAnsiTheme="minorHAnsi"/>
          <w:bCs/>
          <w:i/>
          <w:color w:val="000000" w:themeColor="text1"/>
          <w:sz w:val="19"/>
          <w:szCs w:val="19"/>
        </w:rPr>
        <w:t>obuhvata</w:t>
      </w:r>
      <w:proofErr w:type="spellEnd"/>
      <w:r w:rsidRPr="003130B7">
        <w:rPr>
          <w:rFonts w:asciiTheme="minorHAnsi" w:hAnsiTheme="minorHAnsi"/>
          <w:bCs/>
          <w:i/>
          <w:color w:val="000000" w:themeColor="text1"/>
          <w:sz w:val="19"/>
          <w:szCs w:val="19"/>
        </w:rPr>
        <w:t xml:space="preserve"> </w:t>
      </w:r>
      <w:proofErr w:type="spellStart"/>
      <w:r w:rsidRPr="003130B7">
        <w:rPr>
          <w:rFonts w:asciiTheme="minorHAnsi" w:hAnsiTheme="minorHAnsi"/>
          <w:bCs/>
          <w:i/>
          <w:color w:val="000000" w:themeColor="text1"/>
          <w:sz w:val="19"/>
          <w:szCs w:val="19"/>
        </w:rPr>
        <w:t>dece</w:t>
      </w:r>
      <w:proofErr w:type="spellEnd"/>
      <w:r w:rsidRPr="003130B7">
        <w:rPr>
          <w:rFonts w:asciiTheme="minorHAnsi" w:hAnsiTheme="minorHAnsi"/>
          <w:bCs/>
          <w:i/>
          <w:color w:val="000000" w:themeColor="text1"/>
          <w:sz w:val="19"/>
          <w:szCs w:val="19"/>
        </w:rPr>
        <w:t xml:space="preserve"> </w:t>
      </w:r>
      <w:proofErr w:type="spellStart"/>
      <w:r w:rsidRPr="003130B7">
        <w:rPr>
          <w:rFonts w:asciiTheme="minorHAnsi" w:hAnsiTheme="minorHAnsi"/>
          <w:bCs/>
          <w:i/>
          <w:color w:val="000000" w:themeColor="text1"/>
          <w:sz w:val="19"/>
          <w:szCs w:val="19"/>
        </w:rPr>
        <w:t>tokom</w:t>
      </w:r>
      <w:proofErr w:type="spellEnd"/>
      <w:r w:rsidRPr="003130B7">
        <w:rPr>
          <w:rFonts w:asciiTheme="minorHAnsi" w:hAnsiTheme="minorHAnsi"/>
          <w:bCs/>
          <w:i/>
          <w:color w:val="000000" w:themeColor="text1"/>
          <w:sz w:val="19"/>
          <w:szCs w:val="19"/>
        </w:rPr>
        <w:t xml:space="preserve"> </w:t>
      </w:r>
      <w:proofErr w:type="spellStart"/>
      <w:r w:rsidRPr="003130B7">
        <w:rPr>
          <w:rFonts w:asciiTheme="minorHAnsi" w:hAnsiTheme="minorHAnsi"/>
          <w:bCs/>
          <w:i/>
          <w:color w:val="000000" w:themeColor="text1"/>
          <w:sz w:val="19"/>
          <w:szCs w:val="19"/>
        </w:rPr>
        <w:t>čitavog</w:t>
      </w:r>
      <w:proofErr w:type="spellEnd"/>
      <w:r w:rsidRPr="003130B7">
        <w:rPr>
          <w:rFonts w:asciiTheme="minorHAnsi" w:hAnsiTheme="minorHAnsi"/>
          <w:bCs/>
          <w:i/>
          <w:color w:val="000000" w:themeColor="text1"/>
          <w:sz w:val="19"/>
          <w:szCs w:val="19"/>
        </w:rPr>
        <w:t xml:space="preserve"> POV, od </w:t>
      </w:r>
      <w:proofErr w:type="spellStart"/>
      <w:r w:rsidRPr="003130B7">
        <w:rPr>
          <w:rFonts w:asciiTheme="minorHAnsi" w:hAnsiTheme="minorHAnsi"/>
          <w:bCs/>
          <w:i/>
          <w:color w:val="000000" w:themeColor="text1"/>
          <w:sz w:val="19"/>
          <w:szCs w:val="19"/>
        </w:rPr>
        <w:t>jaslenog</w:t>
      </w:r>
      <w:proofErr w:type="spellEnd"/>
      <w:r w:rsidRPr="003130B7">
        <w:rPr>
          <w:rFonts w:asciiTheme="minorHAnsi" w:hAnsiTheme="minorHAnsi"/>
          <w:bCs/>
          <w:i/>
          <w:color w:val="000000" w:themeColor="text1"/>
          <w:sz w:val="19"/>
          <w:szCs w:val="19"/>
        </w:rPr>
        <w:t xml:space="preserve"> </w:t>
      </w:r>
      <w:proofErr w:type="spellStart"/>
      <w:r w:rsidRPr="003130B7">
        <w:rPr>
          <w:rFonts w:asciiTheme="minorHAnsi" w:hAnsiTheme="minorHAnsi"/>
          <w:bCs/>
          <w:i/>
          <w:color w:val="000000" w:themeColor="text1"/>
          <w:sz w:val="19"/>
          <w:szCs w:val="19"/>
        </w:rPr>
        <w:t>uzrasta</w:t>
      </w:r>
      <w:proofErr w:type="spellEnd"/>
      <w:r w:rsidRPr="003130B7">
        <w:rPr>
          <w:rFonts w:asciiTheme="minorHAnsi" w:hAnsiTheme="minorHAnsi"/>
          <w:bCs/>
          <w:i/>
          <w:color w:val="000000" w:themeColor="text1"/>
          <w:sz w:val="19"/>
          <w:szCs w:val="19"/>
        </w:rPr>
        <w:t xml:space="preserve"> do PPP. </w:t>
      </w:r>
    </w:p>
    <w:p w14:paraId="5B1ED853" w14:textId="77777777" w:rsidR="00DB5D24" w:rsidRPr="003130B7" w:rsidRDefault="00DB5D24" w:rsidP="00DB5D24">
      <w:pPr>
        <w:pBdr>
          <w:top w:val="single" w:sz="4" w:space="1" w:color="auto" w:shadow="1"/>
          <w:left w:val="single" w:sz="4" w:space="0" w:color="auto" w:shadow="1"/>
          <w:bottom w:val="single" w:sz="4" w:space="1" w:color="auto" w:shadow="1"/>
          <w:right w:val="single" w:sz="4" w:space="0" w:color="auto" w:shadow="1"/>
        </w:pBdr>
        <w:jc w:val="both"/>
        <w:textAlignment w:val="center"/>
        <w:rPr>
          <w:rFonts w:asciiTheme="minorHAnsi" w:hAnsiTheme="minorHAnsi"/>
          <w:bCs/>
          <w:color w:val="000000" w:themeColor="text1"/>
          <w:sz w:val="19"/>
          <w:szCs w:val="19"/>
        </w:rPr>
      </w:pPr>
    </w:p>
    <w:p w14:paraId="495DBE18" w14:textId="77777777" w:rsidR="00DB5D24" w:rsidRPr="003130B7" w:rsidRDefault="00DB5D24" w:rsidP="00DB5D24">
      <w:pPr>
        <w:pBdr>
          <w:top w:val="single" w:sz="4" w:space="1" w:color="auto" w:shadow="1"/>
          <w:left w:val="single" w:sz="4" w:space="0" w:color="auto" w:shadow="1"/>
          <w:bottom w:val="single" w:sz="4" w:space="1" w:color="auto" w:shadow="1"/>
          <w:right w:val="single" w:sz="4" w:space="0" w:color="auto" w:shadow="1"/>
        </w:pBdr>
        <w:jc w:val="both"/>
        <w:textAlignment w:val="center"/>
        <w:rPr>
          <w:rFonts w:asciiTheme="minorHAnsi" w:hAnsiTheme="minorHAnsi"/>
          <w:bCs/>
          <w:i/>
          <w:color w:val="000000" w:themeColor="text1"/>
          <w:sz w:val="19"/>
          <w:szCs w:val="19"/>
          <w:u w:val="single"/>
        </w:rPr>
      </w:pPr>
      <w:proofErr w:type="spellStart"/>
      <w:r w:rsidRPr="003130B7">
        <w:rPr>
          <w:rFonts w:asciiTheme="minorHAnsi" w:hAnsiTheme="minorHAnsi"/>
          <w:bCs/>
          <w:i/>
          <w:color w:val="000000" w:themeColor="text1"/>
          <w:sz w:val="19"/>
          <w:szCs w:val="19"/>
          <w:u w:val="single"/>
        </w:rPr>
        <w:t>Lokalni</w:t>
      </w:r>
      <w:proofErr w:type="spellEnd"/>
      <w:r w:rsidRPr="003130B7">
        <w:rPr>
          <w:rFonts w:asciiTheme="minorHAnsi" w:hAnsiTheme="minorHAnsi"/>
          <w:bCs/>
          <w:i/>
          <w:color w:val="000000" w:themeColor="text1"/>
          <w:sz w:val="19"/>
          <w:szCs w:val="19"/>
          <w:u w:val="single"/>
        </w:rPr>
        <w:t xml:space="preserve"> </w:t>
      </w:r>
      <w:proofErr w:type="spellStart"/>
      <w:r w:rsidRPr="003130B7">
        <w:rPr>
          <w:rFonts w:asciiTheme="minorHAnsi" w:hAnsiTheme="minorHAnsi"/>
          <w:bCs/>
          <w:i/>
          <w:color w:val="000000" w:themeColor="text1"/>
          <w:sz w:val="19"/>
          <w:szCs w:val="19"/>
          <w:u w:val="single"/>
        </w:rPr>
        <w:t>ciljevi</w:t>
      </w:r>
      <w:proofErr w:type="spellEnd"/>
      <w:r w:rsidRPr="003130B7">
        <w:rPr>
          <w:rFonts w:asciiTheme="minorHAnsi" w:hAnsiTheme="minorHAnsi"/>
          <w:bCs/>
          <w:i/>
          <w:color w:val="000000" w:themeColor="text1"/>
          <w:sz w:val="19"/>
          <w:szCs w:val="19"/>
          <w:u w:val="single"/>
        </w:rPr>
        <w:t>:</w:t>
      </w:r>
    </w:p>
    <w:p w14:paraId="2C5285AC" w14:textId="77777777" w:rsidR="00DB5D24" w:rsidRPr="003130B7" w:rsidRDefault="00DB5D24" w:rsidP="00DB5D24">
      <w:pPr>
        <w:pBdr>
          <w:top w:val="single" w:sz="4" w:space="1" w:color="auto" w:shadow="1"/>
          <w:left w:val="single" w:sz="4" w:space="0" w:color="auto" w:shadow="1"/>
          <w:bottom w:val="single" w:sz="4" w:space="1" w:color="auto" w:shadow="1"/>
          <w:right w:val="single" w:sz="4" w:space="0" w:color="auto" w:shadow="1"/>
        </w:pBdr>
        <w:jc w:val="both"/>
        <w:textAlignment w:val="center"/>
        <w:rPr>
          <w:rFonts w:asciiTheme="minorHAnsi" w:hAnsiTheme="minorHAnsi"/>
          <w:bCs/>
          <w:color w:val="000000" w:themeColor="text1"/>
          <w:sz w:val="19"/>
          <w:szCs w:val="19"/>
        </w:rPr>
      </w:pPr>
      <w:proofErr w:type="spellStart"/>
      <w:r w:rsidRPr="003130B7">
        <w:rPr>
          <w:rFonts w:asciiTheme="minorHAnsi" w:hAnsiTheme="minorHAnsi"/>
          <w:bCs/>
          <w:color w:val="000000" w:themeColor="text1"/>
          <w:sz w:val="19"/>
          <w:szCs w:val="19"/>
        </w:rPr>
        <w:t>Povećanje</w:t>
      </w:r>
      <w:proofErr w:type="spellEnd"/>
      <w:r w:rsidRPr="003130B7">
        <w:rPr>
          <w:rFonts w:asciiTheme="minorHAnsi" w:hAnsiTheme="minorHAnsi"/>
          <w:bCs/>
          <w:color w:val="000000" w:themeColor="text1"/>
          <w:sz w:val="19"/>
          <w:szCs w:val="19"/>
        </w:rPr>
        <w:t xml:space="preserve"> </w:t>
      </w:r>
      <w:proofErr w:type="spellStart"/>
      <w:r w:rsidRPr="003130B7">
        <w:rPr>
          <w:rFonts w:asciiTheme="minorHAnsi" w:hAnsiTheme="minorHAnsi"/>
          <w:bCs/>
          <w:color w:val="000000" w:themeColor="text1"/>
          <w:sz w:val="19"/>
          <w:szCs w:val="19"/>
        </w:rPr>
        <w:t>obuhvata</w:t>
      </w:r>
      <w:proofErr w:type="spellEnd"/>
      <w:r w:rsidRPr="003130B7">
        <w:rPr>
          <w:rFonts w:asciiTheme="minorHAnsi" w:hAnsiTheme="minorHAnsi"/>
          <w:bCs/>
          <w:color w:val="000000" w:themeColor="text1"/>
          <w:sz w:val="19"/>
          <w:szCs w:val="19"/>
        </w:rPr>
        <w:t xml:space="preserve"> </w:t>
      </w:r>
      <w:proofErr w:type="spellStart"/>
      <w:r w:rsidRPr="003130B7">
        <w:rPr>
          <w:rFonts w:asciiTheme="minorHAnsi" w:hAnsiTheme="minorHAnsi"/>
          <w:bCs/>
          <w:color w:val="000000" w:themeColor="text1"/>
          <w:sz w:val="19"/>
          <w:szCs w:val="19"/>
        </w:rPr>
        <w:t>dece</w:t>
      </w:r>
      <w:proofErr w:type="spellEnd"/>
      <w:r w:rsidRPr="003130B7">
        <w:rPr>
          <w:rFonts w:asciiTheme="minorHAnsi" w:hAnsiTheme="minorHAnsi"/>
          <w:bCs/>
          <w:color w:val="000000" w:themeColor="text1"/>
          <w:sz w:val="19"/>
          <w:szCs w:val="19"/>
        </w:rPr>
        <w:t xml:space="preserve"> </w:t>
      </w:r>
      <w:proofErr w:type="spellStart"/>
      <w:r w:rsidRPr="003130B7">
        <w:rPr>
          <w:rFonts w:asciiTheme="minorHAnsi" w:hAnsiTheme="minorHAnsi"/>
          <w:bCs/>
          <w:color w:val="000000" w:themeColor="text1"/>
          <w:sz w:val="19"/>
          <w:szCs w:val="19"/>
        </w:rPr>
        <w:t>jaslenog</w:t>
      </w:r>
      <w:proofErr w:type="spellEnd"/>
      <w:r w:rsidRPr="003130B7">
        <w:rPr>
          <w:rFonts w:asciiTheme="minorHAnsi" w:hAnsiTheme="minorHAnsi"/>
          <w:bCs/>
          <w:color w:val="000000" w:themeColor="text1"/>
          <w:sz w:val="19"/>
          <w:szCs w:val="19"/>
        </w:rPr>
        <w:t xml:space="preserve"> </w:t>
      </w:r>
      <w:proofErr w:type="spellStart"/>
      <w:r w:rsidRPr="003130B7">
        <w:rPr>
          <w:rFonts w:asciiTheme="minorHAnsi" w:hAnsiTheme="minorHAnsi"/>
          <w:bCs/>
          <w:color w:val="000000" w:themeColor="text1"/>
          <w:sz w:val="19"/>
          <w:szCs w:val="19"/>
        </w:rPr>
        <w:t>uzrasta</w:t>
      </w:r>
      <w:proofErr w:type="spellEnd"/>
      <w:r w:rsidRPr="003130B7">
        <w:rPr>
          <w:rFonts w:asciiTheme="minorHAnsi" w:hAnsiTheme="minorHAnsi"/>
          <w:bCs/>
          <w:color w:val="000000" w:themeColor="text1"/>
          <w:sz w:val="19"/>
          <w:szCs w:val="19"/>
        </w:rPr>
        <w:t xml:space="preserve"> </w:t>
      </w:r>
      <w:proofErr w:type="spellStart"/>
      <w:r w:rsidRPr="003130B7">
        <w:rPr>
          <w:rFonts w:asciiTheme="minorHAnsi" w:hAnsiTheme="minorHAnsi"/>
          <w:bCs/>
          <w:color w:val="000000" w:themeColor="text1"/>
          <w:sz w:val="19"/>
          <w:szCs w:val="19"/>
        </w:rPr>
        <w:t>na</w:t>
      </w:r>
      <w:proofErr w:type="spellEnd"/>
      <w:r w:rsidRPr="003130B7">
        <w:rPr>
          <w:rFonts w:asciiTheme="minorHAnsi" w:hAnsiTheme="minorHAnsi"/>
          <w:bCs/>
          <w:color w:val="000000" w:themeColor="text1"/>
          <w:sz w:val="19"/>
          <w:szCs w:val="19"/>
        </w:rPr>
        <w:t xml:space="preserve"> </w:t>
      </w:r>
      <w:proofErr w:type="spellStart"/>
      <w:r w:rsidRPr="003130B7">
        <w:rPr>
          <w:rFonts w:asciiTheme="minorHAnsi" w:hAnsiTheme="minorHAnsi"/>
          <w:bCs/>
          <w:color w:val="000000" w:themeColor="text1"/>
          <w:sz w:val="19"/>
          <w:szCs w:val="19"/>
        </w:rPr>
        <w:t>preko</w:t>
      </w:r>
      <w:proofErr w:type="spellEnd"/>
      <w:r w:rsidRPr="003130B7">
        <w:rPr>
          <w:rFonts w:asciiTheme="minorHAnsi" w:hAnsiTheme="minorHAnsi"/>
          <w:bCs/>
          <w:color w:val="000000" w:themeColor="text1"/>
          <w:sz w:val="19"/>
          <w:szCs w:val="19"/>
        </w:rPr>
        <w:t xml:space="preserve"> 30% do 2030 </w:t>
      </w:r>
      <w:proofErr w:type="spellStart"/>
      <w:r w:rsidRPr="003130B7">
        <w:rPr>
          <w:rFonts w:asciiTheme="minorHAnsi" w:hAnsiTheme="minorHAnsi"/>
          <w:bCs/>
          <w:color w:val="000000" w:themeColor="text1"/>
          <w:sz w:val="19"/>
          <w:szCs w:val="19"/>
        </w:rPr>
        <w:t>godine</w:t>
      </w:r>
      <w:proofErr w:type="spellEnd"/>
    </w:p>
    <w:p w14:paraId="74DEE0FC" w14:textId="77777777" w:rsidR="00DB5D24" w:rsidRPr="003130B7" w:rsidRDefault="00DB5D24" w:rsidP="00DB5D24">
      <w:pPr>
        <w:pBdr>
          <w:top w:val="single" w:sz="4" w:space="1" w:color="auto" w:shadow="1"/>
          <w:left w:val="single" w:sz="4" w:space="0" w:color="auto" w:shadow="1"/>
          <w:bottom w:val="single" w:sz="4" w:space="1" w:color="auto" w:shadow="1"/>
          <w:right w:val="single" w:sz="4" w:space="0" w:color="auto" w:shadow="1"/>
        </w:pBdr>
        <w:jc w:val="both"/>
        <w:textAlignment w:val="center"/>
        <w:rPr>
          <w:rFonts w:asciiTheme="minorHAnsi" w:hAnsiTheme="minorHAnsi"/>
          <w:bCs/>
          <w:color w:val="000000" w:themeColor="text1"/>
          <w:sz w:val="19"/>
          <w:szCs w:val="19"/>
        </w:rPr>
      </w:pPr>
      <w:proofErr w:type="spellStart"/>
      <w:r w:rsidRPr="003130B7">
        <w:rPr>
          <w:rFonts w:asciiTheme="minorHAnsi" w:hAnsiTheme="minorHAnsi"/>
          <w:bCs/>
          <w:color w:val="000000" w:themeColor="text1"/>
          <w:sz w:val="19"/>
          <w:szCs w:val="19"/>
        </w:rPr>
        <w:t>Povećanje</w:t>
      </w:r>
      <w:proofErr w:type="spellEnd"/>
      <w:r w:rsidRPr="003130B7">
        <w:rPr>
          <w:rFonts w:asciiTheme="minorHAnsi" w:hAnsiTheme="minorHAnsi"/>
          <w:bCs/>
          <w:color w:val="000000" w:themeColor="text1"/>
          <w:sz w:val="19"/>
          <w:szCs w:val="19"/>
        </w:rPr>
        <w:t xml:space="preserve"> </w:t>
      </w:r>
      <w:proofErr w:type="spellStart"/>
      <w:r w:rsidRPr="003130B7">
        <w:rPr>
          <w:rFonts w:asciiTheme="minorHAnsi" w:hAnsiTheme="minorHAnsi"/>
          <w:bCs/>
          <w:color w:val="000000" w:themeColor="text1"/>
          <w:sz w:val="19"/>
          <w:szCs w:val="19"/>
        </w:rPr>
        <w:t>obuhvata</w:t>
      </w:r>
      <w:proofErr w:type="spellEnd"/>
      <w:r w:rsidRPr="003130B7">
        <w:rPr>
          <w:rFonts w:asciiTheme="minorHAnsi" w:hAnsiTheme="minorHAnsi"/>
          <w:bCs/>
          <w:color w:val="000000" w:themeColor="text1"/>
          <w:sz w:val="19"/>
          <w:szCs w:val="19"/>
        </w:rPr>
        <w:t xml:space="preserve"> </w:t>
      </w:r>
      <w:proofErr w:type="spellStart"/>
      <w:r w:rsidRPr="003130B7">
        <w:rPr>
          <w:rFonts w:asciiTheme="minorHAnsi" w:hAnsiTheme="minorHAnsi"/>
          <w:bCs/>
          <w:color w:val="000000" w:themeColor="text1"/>
          <w:sz w:val="19"/>
          <w:szCs w:val="19"/>
        </w:rPr>
        <w:t>dece</w:t>
      </w:r>
      <w:proofErr w:type="spellEnd"/>
      <w:r w:rsidRPr="003130B7">
        <w:rPr>
          <w:rFonts w:asciiTheme="minorHAnsi" w:hAnsiTheme="minorHAnsi"/>
          <w:bCs/>
          <w:color w:val="000000" w:themeColor="text1"/>
          <w:sz w:val="19"/>
          <w:szCs w:val="19"/>
        </w:rPr>
        <w:t xml:space="preserve"> </w:t>
      </w:r>
      <w:proofErr w:type="spellStart"/>
      <w:r w:rsidRPr="003130B7">
        <w:rPr>
          <w:rFonts w:asciiTheme="minorHAnsi" w:hAnsiTheme="minorHAnsi"/>
          <w:bCs/>
          <w:color w:val="000000" w:themeColor="text1"/>
          <w:sz w:val="19"/>
          <w:szCs w:val="19"/>
        </w:rPr>
        <w:t>vrtićkog</w:t>
      </w:r>
      <w:proofErr w:type="spellEnd"/>
      <w:r w:rsidRPr="003130B7">
        <w:rPr>
          <w:rFonts w:asciiTheme="minorHAnsi" w:hAnsiTheme="minorHAnsi"/>
          <w:bCs/>
          <w:color w:val="000000" w:themeColor="text1"/>
          <w:sz w:val="19"/>
          <w:szCs w:val="19"/>
        </w:rPr>
        <w:t xml:space="preserve"> </w:t>
      </w:r>
      <w:proofErr w:type="spellStart"/>
      <w:r w:rsidRPr="003130B7">
        <w:rPr>
          <w:rFonts w:asciiTheme="minorHAnsi" w:hAnsiTheme="minorHAnsi"/>
          <w:bCs/>
          <w:color w:val="000000" w:themeColor="text1"/>
          <w:sz w:val="19"/>
          <w:szCs w:val="19"/>
        </w:rPr>
        <w:t>uzrasta</w:t>
      </w:r>
      <w:proofErr w:type="spellEnd"/>
      <w:r w:rsidRPr="003130B7">
        <w:rPr>
          <w:rFonts w:asciiTheme="minorHAnsi" w:hAnsiTheme="minorHAnsi"/>
          <w:bCs/>
          <w:color w:val="000000" w:themeColor="text1"/>
          <w:sz w:val="19"/>
          <w:szCs w:val="19"/>
        </w:rPr>
        <w:t xml:space="preserve"> </w:t>
      </w:r>
      <w:proofErr w:type="spellStart"/>
      <w:r w:rsidRPr="003130B7">
        <w:rPr>
          <w:rFonts w:asciiTheme="minorHAnsi" w:hAnsiTheme="minorHAnsi"/>
          <w:bCs/>
          <w:color w:val="000000" w:themeColor="text1"/>
          <w:sz w:val="19"/>
          <w:szCs w:val="19"/>
        </w:rPr>
        <w:t>na</w:t>
      </w:r>
      <w:proofErr w:type="spellEnd"/>
      <w:r w:rsidRPr="003130B7">
        <w:rPr>
          <w:rFonts w:asciiTheme="minorHAnsi" w:hAnsiTheme="minorHAnsi"/>
          <w:bCs/>
          <w:color w:val="000000" w:themeColor="text1"/>
          <w:sz w:val="19"/>
          <w:szCs w:val="19"/>
        </w:rPr>
        <w:t xml:space="preserve"> 90% do 2030 </w:t>
      </w:r>
      <w:proofErr w:type="spellStart"/>
      <w:r w:rsidRPr="003130B7">
        <w:rPr>
          <w:rFonts w:asciiTheme="minorHAnsi" w:hAnsiTheme="minorHAnsi"/>
          <w:bCs/>
          <w:color w:val="000000" w:themeColor="text1"/>
          <w:sz w:val="19"/>
          <w:szCs w:val="19"/>
        </w:rPr>
        <w:t>godine</w:t>
      </w:r>
      <w:proofErr w:type="spellEnd"/>
    </w:p>
    <w:p w14:paraId="256A2B05" w14:textId="77777777" w:rsidR="00DB5D24" w:rsidRPr="003130B7" w:rsidRDefault="00DB5D24" w:rsidP="00DB5D24">
      <w:pPr>
        <w:pBdr>
          <w:top w:val="single" w:sz="4" w:space="1" w:color="auto" w:shadow="1"/>
          <w:left w:val="single" w:sz="4" w:space="0" w:color="auto" w:shadow="1"/>
          <w:bottom w:val="single" w:sz="4" w:space="1" w:color="auto" w:shadow="1"/>
          <w:right w:val="single" w:sz="4" w:space="0" w:color="auto" w:shadow="1"/>
        </w:pBdr>
        <w:jc w:val="both"/>
        <w:textAlignment w:val="center"/>
        <w:rPr>
          <w:rFonts w:asciiTheme="minorHAnsi" w:hAnsiTheme="minorHAnsi"/>
          <w:bCs/>
          <w:color w:val="000000" w:themeColor="text1"/>
          <w:sz w:val="19"/>
          <w:szCs w:val="19"/>
        </w:rPr>
      </w:pPr>
      <w:proofErr w:type="spellStart"/>
      <w:r w:rsidRPr="003130B7">
        <w:rPr>
          <w:rFonts w:asciiTheme="minorHAnsi" w:hAnsiTheme="minorHAnsi"/>
          <w:bCs/>
          <w:color w:val="000000" w:themeColor="text1"/>
          <w:sz w:val="19"/>
          <w:szCs w:val="19"/>
        </w:rPr>
        <w:t>Potpuni</w:t>
      </w:r>
      <w:proofErr w:type="spellEnd"/>
      <w:r w:rsidRPr="003130B7">
        <w:rPr>
          <w:rFonts w:asciiTheme="minorHAnsi" w:hAnsiTheme="minorHAnsi"/>
          <w:bCs/>
          <w:color w:val="000000" w:themeColor="text1"/>
          <w:sz w:val="19"/>
          <w:szCs w:val="19"/>
        </w:rPr>
        <w:t xml:space="preserve"> </w:t>
      </w:r>
      <w:proofErr w:type="spellStart"/>
      <w:r w:rsidRPr="003130B7">
        <w:rPr>
          <w:rFonts w:asciiTheme="minorHAnsi" w:hAnsiTheme="minorHAnsi"/>
          <w:bCs/>
          <w:color w:val="000000" w:themeColor="text1"/>
          <w:sz w:val="19"/>
          <w:szCs w:val="19"/>
        </w:rPr>
        <w:t>obuhvat</w:t>
      </w:r>
      <w:proofErr w:type="spellEnd"/>
      <w:r w:rsidRPr="003130B7">
        <w:rPr>
          <w:rFonts w:asciiTheme="minorHAnsi" w:hAnsiTheme="minorHAnsi"/>
          <w:bCs/>
          <w:color w:val="000000" w:themeColor="text1"/>
          <w:sz w:val="19"/>
          <w:szCs w:val="19"/>
        </w:rPr>
        <w:t xml:space="preserve"> PPP-om </w:t>
      </w:r>
      <w:proofErr w:type="spellStart"/>
      <w:r w:rsidRPr="003130B7">
        <w:rPr>
          <w:rFonts w:asciiTheme="minorHAnsi" w:hAnsiTheme="minorHAnsi"/>
          <w:bCs/>
          <w:color w:val="000000" w:themeColor="text1"/>
          <w:sz w:val="19"/>
          <w:szCs w:val="19"/>
        </w:rPr>
        <w:t>marginalizovanih</w:t>
      </w:r>
      <w:proofErr w:type="spellEnd"/>
      <w:r w:rsidRPr="003130B7">
        <w:rPr>
          <w:rFonts w:asciiTheme="minorHAnsi" w:hAnsiTheme="minorHAnsi"/>
          <w:bCs/>
          <w:color w:val="000000" w:themeColor="text1"/>
          <w:sz w:val="19"/>
          <w:szCs w:val="19"/>
        </w:rPr>
        <w:t xml:space="preserve"> </w:t>
      </w:r>
      <w:proofErr w:type="spellStart"/>
      <w:r w:rsidRPr="003130B7">
        <w:rPr>
          <w:rFonts w:asciiTheme="minorHAnsi" w:hAnsiTheme="minorHAnsi"/>
          <w:bCs/>
          <w:color w:val="000000" w:themeColor="text1"/>
          <w:sz w:val="19"/>
          <w:szCs w:val="19"/>
        </w:rPr>
        <w:t>grupa</w:t>
      </w:r>
      <w:proofErr w:type="spellEnd"/>
      <w:r w:rsidRPr="003130B7">
        <w:rPr>
          <w:rFonts w:asciiTheme="minorHAnsi" w:hAnsiTheme="minorHAnsi"/>
          <w:bCs/>
          <w:color w:val="000000" w:themeColor="text1"/>
          <w:sz w:val="19"/>
          <w:szCs w:val="19"/>
        </w:rPr>
        <w:t xml:space="preserve"> </w:t>
      </w:r>
    </w:p>
    <w:p w14:paraId="750121E0" w14:textId="77777777" w:rsidR="00DB5D24" w:rsidRPr="003130B7" w:rsidRDefault="00DB5D24" w:rsidP="00DB5D24">
      <w:pPr>
        <w:pBdr>
          <w:top w:val="single" w:sz="4" w:space="1" w:color="auto" w:shadow="1"/>
          <w:left w:val="single" w:sz="4" w:space="0" w:color="auto" w:shadow="1"/>
          <w:bottom w:val="single" w:sz="4" w:space="1" w:color="auto" w:shadow="1"/>
          <w:right w:val="single" w:sz="4" w:space="0" w:color="auto" w:shadow="1"/>
        </w:pBdr>
        <w:jc w:val="both"/>
        <w:textAlignment w:val="center"/>
        <w:rPr>
          <w:rFonts w:asciiTheme="minorHAnsi" w:hAnsiTheme="minorHAnsi"/>
          <w:bCs/>
          <w:color w:val="000000" w:themeColor="text1"/>
          <w:sz w:val="19"/>
          <w:szCs w:val="19"/>
        </w:rPr>
      </w:pPr>
      <w:proofErr w:type="spellStart"/>
      <w:r w:rsidRPr="003130B7">
        <w:rPr>
          <w:rFonts w:asciiTheme="minorHAnsi" w:hAnsiTheme="minorHAnsi"/>
          <w:bCs/>
          <w:color w:val="000000" w:themeColor="text1"/>
          <w:sz w:val="19"/>
          <w:szCs w:val="19"/>
        </w:rPr>
        <w:t>Povećanje</w:t>
      </w:r>
      <w:proofErr w:type="spellEnd"/>
      <w:r w:rsidRPr="003130B7">
        <w:rPr>
          <w:rFonts w:asciiTheme="minorHAnsi" w:hAnsiTheme="minorHAnsi"/>
          <w:bCs/>
          <w:color w:val="000000" w:themeColor="text1"/>
          <w:sz w:val="19"/>
          <w:szCs w:val="19"/>
        </w:rPr>
        <w:t xml:space="preserve"> </w:t>
      </w:r>
      <w:proofErr w:type="spellStart"/>
      <w:r w:rsidRPr="003130B7">
        <w:rPr>
          <w:rFonts w:asciiTheme="minorHAnsi" w:hAnsiTheme="minorHAnsi"/>
          <w:bCs/>
          <w:color w:val="000000" w:themeColor="text1"/>
          <w:sz w:val="19"/>
          <w:szCs w:val="19"/>
        </w:rPr>
        <w:t>pravičnosti</w:t>
      </w:r>
      <w:proofErr w:type="spellEnd"/>
      <w:r w:rsidRPr="003130B7">
        <w:rPr>
          <w:rFonts w:asciiTheme="minorHAnsi" w:hAnsiTheme="minorHAnsi"/>
          <w:bCs/>
          <w:color w:val="000000" w:themeColor="text1"/>
          <w:sz w:val="19"/>
          <w:szCs w:val="19"/>
        </w:rPr>
        <w:t xml:space="preserve"> – </w:t>
      </w:r>
      <w:proofErr w:type="spellStart"/>
      <w:r w:rsidRPr="003130B7">
        <w:rPr>
          <w:rFonts w:asciiTheme="minorHAnsi" w:hAnsiTheme="minorHAnsi"/>
          <w:bCs/>
          <w:color w:val="000000" w:themeColor="text1"/>
          <w:sz w:val="19"/>
          <w:szCs w:val="19"/>
        </w:rPr>
        <w:t>veći</w:t>
      </w:r>
      <w:proofErr w:type="spellEnd"/>
      <w:r w:rsidRPr="003130B7">
        <w:rPr>
          <w:rFonts w:asciiTheme="minorHAnsi" w:hAnsiTheme="minorHAnsi"/>
          <w:bCs/>
          <w:color w:val="000000" w:themeColor="text1"/>
          <w:sz w:val="19"/>
          <w:szCs w:val="19"/>
        </w:rPr>
        <w:t xml:space="preserve"> </w:t>
      </w:r>
      <w:proofErr w:type="spellStart"/>
      <w:r w:rsidRPr="003130B7">
        <w:rPr>
          <w:rFonts w:asciiTheme="minorHAnsi" w:hAnsiTheme="minorHAnsi"/>
          <w:bCs/>
          <w:color w:val="000000" w:themeColor="text1"/>
          <w:sz w:val="19"/>
          <w:szCs w:val="19"/>
        </w:rPr>
        <w:t>obuhvat</w:t>
      </w:r>
      <w:proofErr w:type="spellEnd"/>
      <w:r w:rsidRPr="003130B7">
        <w:rPr>
          <w:rFonts w:asciiTheme="minorHAnsi" w:hAnsiTheme="minorHAnsi"/>
          <w:bCs/>
          <w:color w:val="000000" w:themeColor="text1"/>
          <w:sz w:val="19"/>
          <w:szCs w:val="19"/>
        </w:rPr>
        <w:t xml:space="preserve"> </w:t>
      </w:r>
      <w:proofErr w:type="spellStart"/>
      <w:r w:rsidRPr="003130B7">
        <w:rPr>
          <w:rFonts w:asciiTheme="minorHAnsi" w:hAnsiTheme="minorHAnsi"/>
          <w:bCs/>
          <w:color w:val="000000" w:themeColor="text1"/>
          <w:sz w:val="19"/>
          <w:szCs w:val="19"/>
        </w:rPr>
        <w:t>dece</w:t>
      </w:r>
      <w:proofErr w:type="spellEnd"/>
      <w:r w:rsidRPr="003130B7">
        <w:rPr>
          <w:rFonts w:asciiTheme="minorHAnsi" w:hAnsiTheme="minorHAnsi"/>
          <w:bCs/>
          <w:color w:val="000000" w:themeColor="text1"/>
          <w:sz w:val="19"/>
          <w:szCs w:val="19"/>
        </w:rPr>
        <w:t xml:space="preserve"> </w:t>
      </w:r>
      <w:proofErr w:type="spellStart"/>
      <w:r w:rsidRPr="003130B7">
        <w:rPr>
          <w:rFonts w:asciiTheme="minorHAnsi" w:hAnsiTheme="minorHAnsi"/>
          <w:bCs/>
          <w:color w:val="000000" w:themeColor="text1"/>
          <w:sz w:val="19"/>
          <w:szCs w:val="19"/>
        </w:rPr>
        <w:t>iz</w:t>
      </w:r>
      <w:proofErr w:type="spellEnd"/>
      <w:r w:rsidRPr="003130B7">
        <w:rPr>
          <w:rFonts w:asciiTheme="minorHAnsi" w:hAnsiTheme="minorHAnsi"/>
          <w:bCs/>
          <w:color w:val="000000" w:themeColor="text1"/>
          <w:sz w:val="19"/>
          <w:szCs w:val="19"/>
        </w:rPr>
        <w:t xml:space="preserve"> </w:t>
      </w:r>
      <w:proofErr w:type="spellStart"/>
      <w:r w:rsidRPr="003130B7">
        <w:rPr>
          <w:rFonts w:asciiTheme="minorHAnsi" w:hAnsiTheme="minorHAnsi"/>
          <w:bCs/>
          <w:color w:val="000000" w:themeColor="text1"/>
          <w:sz w:val="19"/>
          <w:szCs w:val="19"/>
        </w:rPr>
        <w:t>ruralnih</w:t>
      </w:r>
      <w:proofErr w:type="spellEnd"/>
      <w:r w:rsidRPr="003130B7">
        <w:rPr>
          <w:rFonts w:asciiTheme="minorHAnsi" w:hAnsiTheme="minorHAnsi"/>
          <w:bCs/>
          <w:color w:val="000000" w:themeColor="text1"/>
          <w:sz w:val="19"/>
          <w:szCs w:val="19"/>
        </w:rPr>
        <w:t xml:space="preserve"> </w:t>
      </w:r>
      <w:proofErr w:type="spellStart"/>
      <w:r w:rsidRPr="003130B7">
        <w:rPr>
          <w:rFonts w:asciiTheme="minorHAnsi" w:hAnsiTheme="minorHAnsi"/>
          <w:bCs/>
          <w:color w:val="000000" w:themeColor="text1"/>
          <w:sz w:val="19"/>
          <w:szCs w:val="19"/>
        </w:rPr>
        <w:t>i</w:t>
      </w:r>
      <w:proofErr w:type="spellEnd"/>
      <w:r w:rsidRPr="003130B7">
        <w:rPr>
          <w:rFonts w:asciiTheme="minorHAnsi" w:hAnsiTheme="minorHAnsi"/>
          <w:bCs/>
          <w:color w:val="000000" w:themeColor="text1"/>
          <w:sz w:val="19"/>
          <w:szCs w:val="19"/>
        </w:rPr>
        <w:t xml:space="preserve"> </w:t>
      </w:r>
      <w:proofErr w:type="spellStart"/>
      <w:r w:rsidRPr="003130B7">
        <w:rPr>
          <w:rFonts w:asciiTheme="minorHAnsi" w:hAnsiTheme="minorHAnsi"/>
          <w:bCs/>
          <w:color w:val="000000" w:themeColor="text1"/>
          <w:sz w:val="19"/>
          <w:szCs w:val="19"/>
        </w:rPr>
        <w:t>romskih</w:t>
      </w:r>
      <w:proofErr w:type="spellEnd"/>
      <w:r w:rsidRPr="003130B7">
        <w:rPr>
          <w:rFonts w:asciiTheme="minorHAnsi" w:hAnsiTheme="minorHAnsi"/>
          <w:bCs/>
          <w:color w:val="000000" w:themeColor="text1"/>
          <w:sz w:val="19"/>
          <w:szCs w:val="19"/>
        </w:rPr>
        <w:t xml:space="preserve"> </w:t>
      </w:r>
      <w:proofErr w:type="spellStart"/>
      <w:r w:rsidRPr="003130B7">
        <w:rPr>
          <w:rFonts w:asciiTheme="minorHAnsi" w:hAnsiTheme="minorHAnsi"/>
          <w:bCs/>
          <w:color w:val="000000" w:themeColor="text1"/>
          <w:sz w:val="19"/>
          <w:szCs w:val="19"/>
        </w:rPr>
        <w:t>naselja</w:t>
      </w:r>
      <w:proofErr w:type="spellEnd"/>
      <w:r w:rsidRPr="003130B7">
        <w:rPr>
          <w:rFonts w:asciiTheme="minorHAnsi" w:hAnsiTheme="minorHAnsi"/>
          <w:bCs/>
          <w:color w:val="000000" w:themeColor="text1"/>
          <w:sz w:val="19"/>
          <w:szCs w:val="19"/>
        </w:rPr>
        <w:t xml:space="preserve"> </w:t>
      </w:r>
      <w:proofErr w:type="spellStart"/>
      <w:r w:rsidRPr="003130B7">
        <w:rPr>
          <w:rFonts w:asciiTheme="minorHAnsi" w:hAnsiTheme="minorHAnsi"/>
          <w:bCs/>
          <w:color w:val="000000" w:themeColor="text1"/>
          <w:sz w:val="19"/>
          <w:szCs w:val="19"/>
        </w:rPr>
        <w:t>kao</w:t>
      </w:r>
      <w:proofErr w:type="spellEnd"/>
      <w:r w:rsidRPr="003130B7">
        <w:rPr>
          <w:rFonts w:asciiTheme="minorHAnsi" w:hAnsiTheme="minorHAnsi"/>
          <w:bCs/>
          <w:color w:val="000000" w:themeColor="text1"/>
          <w:sz w:val="19"/>
          <w:szCs w:val="19"/>
        </w:rPr>
        <w:t xml:space="preserve"> </w:t>
      </w:r>
      <w:proofErr w:type="spellStart"/>
      <w:r w:rsidRPr="003130B7">
        <w:rPr>
          <w:rFonts w:asciiTheme="minorHAnsi" w:hAnsiTheme="minorHAnsi"/>
          <w:bCs/>
          <w:color w:val="000000" w:themeColor="text1"/>
          <w:sz w:val="19"/>
          <w:szCs w:val="19"/>
        </w:rPr>
        <w:t>i</w:t>
      </w:r>
      <w:proofErr w:type="spellEnd"/>
      <w:r w:rsidRPr="003130B7">
        <w:rPr>
          <w:rFonts w:asciiTheme="minorHAnsi" w:hAnsiTheme="minorHAnsi"/>
          <w:bCs/>
          <w:color w:val="000000" w:themeColor="text1"/>
          <w:sz w:val="19"/>
          <w:szCs w:val="19"/>
        </w:rPr>
        <w:t xml:space="preserve"> </w:t>
      </w:r>
      <w:proofErr w:type="spellStart"/>
      <w:r w:rsidRPr="003130B7">
        <w:rPr>
          <w:rFonts w:asciiTheme="minorHAnsi" w:hAnsiTheme="minorHAnsi"/>
          <w:bCs/>
          <w:color w:val="000000" w:themeColor="text1"/>
          <w:sz w:val="19"/>
          <w:szCs w:val="19"/>
        </w:rPr>
        <w:t>dece</w:t>
      </w:r>
      <w:proofErr w:type="spellEnd"/>
      <w:r w:rsidRPr="003130B7">
        <w:rPr>
          <w:rFonts w:asciiTheme="minorHAnsi" w:hAnsiTheme="minorHAnsi"/>
          <w:bCs/>
          <w:color w:val="000000" w:themeColor="text1"/>
          <w:sz w:val="19"/>
          <w:szCs w:val="19"/>
        </w:rPr>
        <w:t xml:space="preserve"> </w:t>
      </w:r>
      <w:proofErr w:type="spellStart"/>
      <w:r w:rsidRPr="003130B7">
        <w:rPr>
          <w:rFonts w:asciiTheme="minorHAnsi" w:hAnsiTheme="minorHAnsi"/>
          <w:bCs/>
          <w:color w:val="000000" w:themeColor="text1"/>
          <w:sz w:val="19"/>
          <w:szCs w:val="19"/>
        </w:rPr>
        <w:t>sa</w:t>
      </w:r>
      <w:proofErr w:type="spellEnd"/>
      <w:r w:rsidRPr="003130B7">
        <w:rPr>
          <w:rFonts w:asciiTheme="minorHAnsi" w:hAnsiTheme="minorHAnsi"/>
          <w:bCs/>
          <w:color w:val="000000" w:themeColor="text1"/>
          <w:sz w:val="19"/>
          <w:szCs w:val="19"/>
        </w:rPr>
        <w:t xml:space="preserve"> </w:t>
      </w:r>
      <w:proofErr w:type="spellStart"/>
      <w:r w:rsidRPr="003130B7">
        <w:rPr>
          <w:rFonts w:asciiTheme="minorHAnsi" w:hAnsiTheme="minorHAnsi"/>
          <w:bCs/>
          <w:color w:val="000000" w:themeColor="text1"/>
          <w:sz w:val="19"/>
          <w:szCs w:val="19"/>
        </w:rPr>
        <w:t>smetnjama</w:t>
      </w:r>
      <w:proofErr w:type="spellEnd"/>
      <w:r w:rsidRPr="003130B7">
        <w:rPr>
          <w:rFonts w:asciiTheme="minorHAnsi" w:hAnsiTheme="minorHAnsi"/>
          <w:bCs/>
          <w:color w:val="000000" w:themeColor="text1"/>
          <w:sz w:val="19"/>
          <w:szCs w:val="19"/>
        </w:rPr>
        <w:t xml:space="preserve"> u </w:t>
      </w:r>
      <w:proofErr w:type="spellStart"/>
      <w:r w:rsidRPr="003130B7">
        <w:rPr>
          <w:rFonts w:asciiTheme="minorHAnsi" w:hAnsiTheme="minorHAnsi"/>
          <w:bCs/>
          <w:color w:val="000000" w:themeColor="text1"/>
          <w:sz w:val="19"/>
          <w:szCs w:val="19"/>
        </w:rPr>
        <w:t>razvoju</w:t>
      </w:r>
      <w:proofErr w:type="spellEnd"/>
    </w:p>
    <w:p w14:paraId="477D7E05" w14:textId="77777777" w:rsidR="00DB5D24" w:rsidRPr="003130B7" w:rsidRDefault="00DB5D24" w:rsidP="00DB5D24">
      <w:pPr>
        <w:pBdr>
          <w:top w:val="single" w:sz="4" w:space="1" w:color="auto" w:shadow="1"/>
          <w:left w:val="single" w:sz="4" w:space="0" w:color="auto" w:shadow="1"/>
          <w:bottom w:val="single" w:sz="4" w:space="1" w:color="auto" w:shadow="1"/>
          <w:right w:val="single" w:sz="4" w:space="0" w:color="auto" w:shadow="1"/>
        </w:pBdr>
        <w:jc w:val="both"/>
        <w:textAlignment w:val="center"/>
        <w:rPr>
          <w:rFonts w:asciiTheme="minorHAnsi" w:hAnsiTheme="minorHAnsi"/>
          <w:bCs/>
          <w:color w:val="000000" w:themeColor="text1"/>
          <w:sz w:val="19"/>
          <w:szCs w:val="19"/>
        </w:rPr>
      </w:pPr>
    </w:p>
    <w:p w14:paraId="3458522B" w14:textId="77777777" w:rsidR="00DB5D24" w:rsidRPr="003130B7" w:rsidRDefault="00DB5D24" w:rsidP="00DB5D24">
      <w:pPr>
        <w:pBdr>
          <w:top w:val="single" w:sz="4" w:space="1" w:color="auto" w:shadow="1"/>
          <w:left w:val="single" w:sz="4" w:space="0" w:color="auto" w:shadow="1"/>
          <w:bottom w:val="single" w:sz="4" w:space="1" w:color="auto" w:shadow="1"/>
          <w:right w:val="single" w:sz="4" w:space="0" w:color="auto" w:shadow="1"/>
        </w:pBdr>
        <w:spacing w:after="120"/>
        <w:jc w:val="both"/>
        <w:textAlignment w:val="center"/>
        <w:rPr>
          <w:rFonts w:asciiTheme="minorHAnsi" w:hAnsiTheme="minorHAnsi"/>
          <w:bCs/>
          <w:i/>
          <w:color w:val="000000" w:themeColor="text1"/>
          <w:sz w:val="19"/>
          <w:szCs w:val="19"/>
          <w:u w:val="single"/>
        </w:rPr>
      </w:pPr>
      <w:proofErr w:type="spellStart"/>
      <w:r w:rsidRPr="003130B7">
        <w:rPr>
          <w:rFonts w:asciiTheme="minorHAnsi" w:hAnsiTheme="minorHAnsi"/>
          <w:bCs/>
          <w:i/>
          <w:color w:val="000000" w:themeColor="text1"/>
          <w:sz w:val="19"/>
          <w:szCs w:val="19"/>
          <w:u w:val="single"/>
        </w:rPr>
        <w:t>Potrebne</w:t>
      </w:r>
      <w:proofErr w:type="spellEnd"/>
      <w:r w:rsidRPr="003130B7">
        <w:rPr>
          <w:rFonts w:asciiTheme="minorHAnsi" w:hAnsiTheme="minorHAnsi"/>
          <w:bCs/>
          <w:i/>
          <w:color w:val="000000" w:themeColor="text1"/>
          <w:sz w:val="19"/>
          <w:szCs w:val="19"/>
          <w:u w:val="single"/>
        </w:rPr>
        <w:t xml:space="preserve"> </w:t>
      </w:r>
      <w:proofErr w:type="spellStart"/>
      <w:r w:rsidRPr="003130B7">
        <w:rPr>
          <w:rFonts w:asciiTheme="minorHAnsi" w:hAnsiTheme="minorHAnsi"/>
          <w:bCs/>
          <w:i/>
          <w:color w:val="000000" w:themeColor="text1"/>
          <w:sz w:val="19"/>
          <w:szCs w:val="19"/>
          <w:u w:val="single"/>
        </w:rPr>
        <w:t>lokalne</w:t>
      </w:r>
      <w:proofErr w:type="spellEnd"/>
      <w:r w:rsidRPr="003130B7">
        <w:rPr>
          <w:rFonts w:asciiTheme="minorHAnsi" w:hAnsiTheme="minorHAnsi"/>
          <w:bCs/>
          <w:i/>
          <w:color w:val="000000" w:themeColor="text1"/>
          <w:sz w:val="19"/>
          <w:szCs w:val="19"/>
          <w:u w:val="single"/>
        </w:rPr>
        <w:t xml:space="preserve"> </w:t>
      </w:r>
      <w:proofErr w:type="spellStart"/>
      <w:r w:rsidRPr="003130B7">
        <w:rPr>
          <w:rFonts w:asciiTheme="minorHAnsi" w:hAnsiTheme="minorHAnsi"/>
          <w:bCs/>
          <w:i/>
          <w:color w:val="000000" w:themeColor="text1"/>
          <w:sz w:val="19"/>
          <w:szCs w:val="19"/>
          <w:u w:val="single"/>
        </w:rPr>
        <w:t>inicijative</w:t>
      </w:r>
      <w:proofErr w:type="spellEnd"/>
      <w:r w:rsidRPr="003130B7">
        <w:rPr>
          <w:rFonts w:asciiTheme="minorHAnsi" w:hAnsiTheme="minorHAnsi"/>
          <w:bCs/>
          <w:i/>
          <w:color w:val="000000" w:themeColor="text1"/>
          <w:sz w:val="19"/>
          <w:szCs w:val="19"/>
          <w:u w:val="single"/>
        </w:rPr>
        <w:t>:</w:t>
      </w:r>
    </w:p>
    <w:p w14:paraId="3B5518FB" w14:textId="77777777" w:rsidR="00DB5D24" w:rsidRPr="003130B7" w:rsidRDefault="00DB5D24" w:rsidP="00DB5D24">
      <w:pPr>
        <w:pBdr>
          <w:top w:val="single" w:sz="4" w:space="1" w:color="auto" w:shadow="1"/>
          <w:left w:val="single" w:sz="4" w:space="0" w:color="auto" w:shadow="1"/>
          <w:bottom w:val="single" w:sz="4" w:space="1" w:color="auto" w:shadow="1"/>
          <w:right w:val="single" w:sz="4" w:space="0" w:color="auto" w:shadow="1"/>
        </w:pBdr>
        <w:jc w:val="both"/>
        <w:textAlignment w:val="center"/>
        <w:rPr>
          <w:rFonts w:asciiTheme="minorHAnsi" w:hAnsiTheme="minorHAnsi"/>
          <w:bCs/>
          <w:color w:val="000000" w:themeColor="text1"/>
          <w:sz w:val="19"/>
          <w:szCs w:val="19"/>
        </w:rPr>
      </w:pPr>
      <w:proofErr w:type="spellStart"/>
      <w:r w:rsidRPr="003130B7">
        <w:rPr>
          <w:rFonts w:asciiTheme="minorHAnsi" w:hAnsiTheme="minorHAnsi"/>
          <w:bCs/>
          <w:color w:val="000000" w:themeColor="text1"/>
          <w:sz w:val="19"/>
          <w:szCs w:val="19"/>
        </w:rPr>
        <w:t>Proširenje</w:t>
      </w:r>
      <w:proofErr w:type="spellEnd"/>
      <w:r w:rsidRPr="003130B7">
        <w:rPr>
          <w:rFonts w:asciiTheme="minorHAnsi" w:hAnsiTheme="minorHAnsi"/>
          <w:bCs/>
          <w:color w:val="000000" w:themeColor="text1"/>
          <w:sz w:val="19"/>
          <w:szCs w:val="19"/>
        </w:rPr>
        <w:t xml:space="preserve"> </w:t>
      </w:r>
      <w:proofErr w:type="spellStart"/>
      <w:r w:rsidRPr="003130B7">
        <w:rPr>
          <w:rFonts w:asciiTheme="minorHAnsi" w:hAnsiTheme="minorHAnsi"/>
          <w:bCs/>
          <w:color w:val="000000" w:themeColor="text1"/>
          <w:sz w:val="19"/>
          <w:szCs w:val="19"/>
        </w:rPr>
        <w:t>jaslenih</w:t>
      </w:r>
      <w:proofErr w:type="spellEnd"/>
      <w:r w:rsidRPr="003130B7">
        <w:rPr>
          <w:rFonts w:asciiTheme="minorHAnsi" w:hAnsiTheme="minorHAnsi"/>
          <w:bCs/>
          <w:color w:val="000000" w:themeColor="text1"/>
          <w:sz w:val="19"/>
          <w:szCs w:val="19"/>
        </w:rPr>
        <w:t xml:space="preserve"> </w:t>
      </w:r>
      <w:proofErr w:type="spellStart"/>
      <w:r w:rsidRPr="003130B7">
        <w:rPr>
          <w:rFonts w:asciiTheme="minorHAnsi" w:hAnsiTheme="minorHAnsi"/>
          <w:bCs/>
          <w:color w:val="000000" w:themeColor="text1"/>
          <w:sz w:val="19"/>
          <w:szCs w:val="19"/>
        </w:rPr>
        <w:t>kapaciteta</w:t>
      </w:r>
      <w:proofErr w:type="spellEnd"/>
    </w:p>
    <w:p w14:paraId="4AAC3B76" w14:textId="77777777" w:rsidR="00DB5D24" w:rsidRPr="003130B7" w:rsidRDefault="00DB5D24" w:rsidP="00DB5D24">
      <w:pPr>
        <w:pBdr>
          <w:top w:val="single" w:sz="4" w:space="1" w:color="auto" w:shadow="1"/>
          <w:left w:val="single" w:sz="4" w:space="0" w:color="auto" w:shadow="1"/>
          <w:bottom w:val="single" w:sz="4" w:space="1" w:color="auto" w:shadow="1"/>
          <w:right w:val="single" w:sz="4" w:space="0" w:color="auto" w:shadow="1"/>
        </w:pBdr>
        <w:jc w:val="both"/>
        <w:textAlignment w:val="center"/>
        <w:rPr>
          <w:rFonts w:asciiTheme="minorHAnsi" w:hAnsiTheme="minorHAnsi"/>
          <w:bCs/>
          <w:color w:val="000000" w:themeColor="text1"/>
          <w:sz w:val="19"/>
          <w:szCs w:val="19"/>
        </w:rPr>
      </w:pPr>
      <w:proofErr w:type="spellStart"/>
      <w:r w:rsidRPr="003130B7">
        <w:rPr>
          <w:rFonts w:asciiTheme="minorHAnsi" w:hAnsiTheme="minorHAnsi"/>
          <w:bCs/>
          <w:color w:val="000000" w:themeColor="text1"/>
          <w:sz w:val="19"/>
          <w:szCs w:val="19"/>
        </w:rPr>
        <w:t>Prošerenje</w:t>
      </w:r>
      <w:proofErr w:type="spellEnd"/>
      <w:r w:rsidRPr="003130B7">
        <w:rPr>
          <w:rFonts w:asciiTheme="minorHAnsi" w:hAnsiTheme="minorHAnsi"/>
          <w:bCs/>
          <w:color w:val="000000" w:themeColor="text1"/>
          <w:sz w:val="19"/>
          <w:szCs w:val="19"/>
        </w:rPr>
        <w:t xml:space="preserve"> </w:t>
      </w:r>
      <w:proofErr w:type="spellStart"/>
      <w:r w:rsidRPr="003130B7">
        <w:rPr>
          <w:rFonts w:asciiTheme="minorHAnsi" w:hAnsiTheme="minorHAnsi"/>
          <w:bCs/>
          <w:color w:val="000000" w:themeColor="text1"/>
          <w:sz w:val="19"/>
          <w:szCs w:val="19"/>
        </w:rPr>
        <w:t>vrtićkih</w:t>
      </w:r>
      <w:proofErr w:type="spellEnd"/>
      <w:r w:rsidRPr="003130B7">
        <w:rPr>
          <w:rFonts w:asciiTheme="minorHAnsi" w:hAnsiTheme="minorHAnsi"/>
          <w:bCs/>
          <w:color w:val="000000" w:themeColor="text1"/>
          <w:sz w:val="19"/>
          <w:szCs w:val="19"/>
        </w:rPr>
        <w:t xml:space="preserve"> </w:t>
      </w:r>
      <w:proofErr w:type="spellStart"/>
      <w:r w:rsidRPr="003130B7">
        <w:rPr>
          <w:rFonts w:asciiTheme="minorHAnsi" w:hAnsiTheme="minorHAnsi"/>
          <w:bCs/>
          <w:color w:val="000000" w:themeColor="text1"/>
          <w:sz w:val="19"/>
          <w:szCs w:val="19"/>
        </w:rPr>
        <w:t>kapaciteta</w:t>
      </w:r>
      <w:proofErr w:type="spellEnd"/>
      <w:r w:rsidRPr="003130B7">
        <w:rPr>
          <w:rFonts w:asciiTheme="minorHAnsi" w:hAnsiTheme="minorHAnsi"/>
          <w:bCs/>
          <w:color w:val="000000" w:themeColor="text1"/>
          <w:sz w:val="19"/>
          <w:szCs w:val="19"/>
        </w:rPr>
        <w:t xml:space="preserve"> </w:t>
      </w:r>
    </w:p>
    <w:p w14:paraId="4C71F562" w14:textId="6F0C5DC9" w:rsidR="00DB5D24" w:rsidRDefault="00DB5D24" w:rsidP="00DB5D24">
      <w:pPr>
        <w:pBdr>
          <w:top w:val="single" w:sz="4" w:space="1" w:color="auto" w:shadow="1"/>
          <w:left w:val="single" w:sz="4" w:space="0" w:color="auto" w:shadow="1"/>
          <w:bottom w:val="single" w:sz="4" w:space="1" w:color="auto" w:shadow="1"/>
          <w:right w:val="single" w:sz="4" w:space="0" w:color="auto" w:shadow="1"/>
        </w:pBdr>
        <w:jc w:val="both"/>
        <w:textAlignment w:val="center"/>
        <w:rPr>
          <w:rFonts w:asciiTheme="minorHAnsi" w:hAnsiTheme="minorHAnsi"/>
          <w:bCs/>
          <w:color w:val="000000" w:themeColor="text1"/>
          <w:sz w:val="19"/>
          <w:szCs w:val="19"/>
        </w:rPr>
      </w:pPr>
      <w:proofErr w:type="spellStart"/>
      <w:r w:rsidRPr="003130B7">
        <w:rPr>
          <w:rFonts w:asciiTheme="minorHAnsi" w:hAnsiTheme="minorHAnsi"/>
          <w:bCs/>
          <w:color w:val="000000" w:themeColor="text1"/>
          <w:sz w:val="19"/>
          <w:szCs w:val="19"/>
        </w:rPr>
        <w:t>Uvođenje</w:t>
      </w:r>
      <w:proofErr w:type="spellEnd"/>
      <w:r w:rsidRPr="003130B7">
        <w:rPr>
          <w:rFonts w:asciiTheme="minorHAnsi" w:hAnsiTheme="minorHAnsi"/>
          <w:bCs/>
          <w:color w:val="000000" w:themeColor="text1"/>
          <w:sz w:val="19"/>
          <w:szCs w:val="19"/>
        </w:rPr>
        <w:t xml:space="preserve"> </w:t>
      </w:r>
      <w:proofErr w:type="spellStart"/>
      <w:r w:rsidRPr="003130B7">
        <w:rPr>
          <w:rFonts w:asciiTheme="minorHAnsi" w:hAnsiTheme="minorHAnsi"/>
          <w:bCs/>
          <w:color w:val="000000" w:themeColor="text1"/>
          <w:sz w:val="19"/>
          <w:szCs w:val="19"/>
        </w:rPr>
        <w:t>poludnevnih</w:t>
      </w:r>
      <w:proofErr w:type="spellEnd"/>
      <w:r w:rsidRPr="003130B7">
        <w:rPr>
          <w:rFonts w:asciiTheme="minorHAnsi" w:hAnsiTheme="minorHAnsi"/>
          <w:bCs/>
          <w:color w:val="000000" w:themeColor="text1"/>
          <w:sz w:val="19"/>
          <w:szCs w:val="19"/>
        </w:rPr>
        <w:t xml:space="preserve"> </w:t>
      </w:r>
      <w:proofErr w:type="spellStart"/>
      <w:r w:rsidRPr="003130B7">
        <w:rPr>
          <w:rFonts w:asciiTheme="minorHAnsi" w:hAnsiTheme="minorHAnsi"/>
          <w:bCs/>
          <w:color w:val="000000" w:themeColor="text1"/>
          <w:sz w:val="19"/>
          <w:szCs w:val="19"/>
        </w:rPr>
        <w:t>programa</w:t>
      </w:r>
      <w:proofErr w:type="spellEnd"/>
      <w:r w:rsidRPr="003130B7">
        <w:rPr>
          <w:rFonts w:asciiTheme="minorHAnsi" w:hAnsiTheme="minorHAnsi"/>
          <w:bCs/>
          <w:color w:val="000000" w:themeColor="text1"/>
          <w:sz w:val="19"/>
          <w:szCs w:val="19"/>
        </w:rPr>
        <w:t xml:space="preserve"> </w:t>
      </w:r>
      <w:proofErr w:type="spellStart"/>
      <w:r w:rsidRPr="003130B7">
        <w:rPr>
          <w:rFonts w:asciiTheme="minorHAnsi" w:hAnsiTheme="minorHAnsi"/>
          <w:bCs/>
          <w:color w:val="000000" w:themeColor="text1"/>
          <w:sz w:val="19"/>
          <w:szCs w:val="19"/>
        </w:rPr>
        <w:t>i</w:t>
      </w:r>
      <w:proofErr w:type="spellEnd"/>
      <w:r w:rsidRPr="003130B7">
        <w:rPr>
          <w:rFonts w:asciiTheme="minorHAnsi" w:hAnsiTheme="minorHAnsi"/>
          <w:bCs/>
          <w:color w:val="000000" w:themeColor="text1"/>
          <w:sz w:val="19"/>
          <w:szCs w:val="19"/>
        </w:rPr>
        <w:t xml:space="preserve"> </w:t>
      </w:r>
      <w:proofErr w:type="spellStart"/>
      <w:r w:rsidRPr="003130B7">
        <w:rPr>
          <w:rFonts w:asciiTheme="minorHAnsi" w:hAnsiTheme="minorHAnsi"/>
          <w:bCs/>
          <w:color w:val="000000" w:themeColor="text1"/>
          <w:sz w:val="19"/>
          <w:szCs w:val="19"/>
        </w:rPr>
        <w:t>drugih</w:t>
      </w:r>
      <w:proofErr w:type="spellEnd"/>
      <w:r w:rsidRPr="003130B7">
        <w:rPr>
          <w:rFonts w:asciiTheme="minorHAnsi" w:hAnsiTheme="minorHAnsi"/>
          <w:bCs/>
          <w:color w:val="000000" w:themeColor="text1"/>
          <w:sz w:val="19"/>
          <w:szCs w:val="19"/>
        </w:rPr>
        <w:t xml:space="preserve"> </w:t>
      </w:r>
      <w:proofErr w:type="spellStart"/>
      <w:r w:rsidRPr="003130B7">
        <w:rPr>
          <w:rFonts w:asciiTheme="minorHAnsi" w:hAnsiTheme="minorHAnsi"/>
          <w:bCs/>
          <w:color w:val="000000" w:themeColor="text1"/>
          <w:sz w:val="19"/>
          <w:szCs w:val="19"/>
        </w:rPr>
        <w:t>fleksiblinih</w:t>
      </w:r>
      <w:proofErr w:type="spellEnd"/>
      <w:r w:rsidRPr="003130B7">
        <w:rPr>
          <w:rFonts w:asciiTheme="minorHAnsi" w:hAnsiTheme="minorHAnsi"/>
          <w:bCs/>
          <w:color w:val="000000" w:themeColor="text1"/>
          <w:sz w:val="19"/>
          <w:szCs w:val="19"/>
        </w:rPr>
        <w:t xml:space="preserve"> </w:t>
      </w:r>
      <w:proofErr w:type="spellStart"/>
      <w:r w:rsidRPr="003130B7">
        <w:rPr>
          <w:rFonts w:asciiTheme="minorHAnsi" w:hAnsiTheme="minorHAnsi"/>
          <w:bCs/>
          <w:color w:val="000000" w:themeColor="text1"/>
          <w:sz w:val="19"/>
          <w:szCs w:val="19"/>
        </w:rPr>
        <w:t>programa</w:t>
      </w:r>
      <w:proofErr w:type="spellEnd"/>
    </w:p>
    <w:p w14:paraId="4876D411" w14:textId="67C05219" w:rsidR="002A5686" w:rsidRPr="003130B7" w:rsidRDefault="002A5686" w:rsidP="00DB5D24">
      <w:pPr>
        <w:pBdr>
          <w:top w:val="single" w:sz="4" w:space="1" w:color="auto" w:shadow="1"/>
          <w:left w:val="single" w:sz="4" w:space="0" w:color="auto" w:shadow="1"/>
          <w:bottom w:val="single" w:sz="4" w:space="1" w:color="auto" w:shadow="1"/>
          <w:right w:val="single" w:sz="4" w:space="0" w:color="auto" w:shadow="1"/>
        </w:pBdr>
        <w:jc w:val="both"/>
        <w:textAlignment w:val="center"/>
        <w:rPr>
          <w:rFonts w:asciiTheme="minorHAnsi" w:hAnsiTheme="minorHAnsi"/>
          <w:bCs/>
          <w:color w:val="000000" w:themeColor="text1"/>
          <w:sz w:val="19"/>
          <w:szCs w:val="19"/>
        </w:rPr>
      </w:pPr>
      <w:proofErr w:type="spellStart"/>
      <w:r>
        <w:rPr>
          <w:rFonts w:asciiTheme="minorHAnsi" w:hAnsiTheme="minorHAnsi"/>
          <w:bCs/>
          <w:color w:val="000000" w:themeColor="text1"/>
          <w:sz w:val="19"/>
          <w:szCs w:val="19"/>
        </w:rPr>
        <w:t>Kampanja</w:t>
      </w:r>
      <w:proofErr w:type="spellEnd"/>
      <w:r>
        <w:rPr>
          <w:rFonts w:asciiTheme="minorHAnsi" w:hAnsiTheme="minorHAnsi"/>
          <w:bCs/>
          <w:color w:val="000000" w:themeColor="text1"/>
          <w:sz w:val="19"/>
          <w:szCs w:val="19"/>
        </w:rPr>
        <w:t xml:space="preserve"> </w:t>
      </w:r>
      <w:proofErr w:type="spellStart"/>
      <w:r>
        <w:rPr>
          <w:rFonts w:asciiTheme="minorHAnsi" w:hAnsiTheme="minorHAnsi"/>
          <w:bCs/>
          <w:color w:val="000000" w:themeColor="text1"/>
          <w:sz w:val="19"/>
          <w:szCs w:val="19"/>
        </w:rPr>
        <w:t>podizanja</w:t>
      </w:r>
      <w:proofErr w:type="spellEnd"/>
      <w:r>
        <w:rPr>
          <w:rFonts w:asciiTheme="minorHAnsi" w:hAnsiTheme="minorHAnsi"/>
          <w:bCs/>
          <w:color w:val="000000" w:themeColor="text1"/>
          <w:sz w:val="19"/>
          <w:szCs w:val="19"/>
        </w:rPr>
        <w:t xml:space="preserve"> </w:t>
      </w:r>
      <w:proofErr w:type="spellStart"/>
      <w:r>
        <w:rPr>
          <w:rFonts w:asciiTheme="minorHAnsi" w:hAnsiTheme="minorHAnsi"/>
          <w:bCs/>
          <w:color w:val="000000" w:themeColor="text1"/>
          <w:sz w:val="19"/>
          <w:szCs w:val="19"/>
        </w:rPr>
        <w:t>svesti</w:t>
      </w:r>
      <w:proofErr w:type="spellEnd"/>
      <w:r>
        <w:rPr>
          <w:rFonts w:asciiTheme="minorHAnsi" w:hAnsiTheme="minorHAnsi"/>
          <w:bCs/>
          <w:color w:val="000000" w:themeColor="text1"/>
          <w:sz w:val="19"/>
          <w:szCs w:val="19"/>
        </w:rPr>
        <w:t xml:space="preserve"> </w:t>
      </w:r>
      <w:proofErr w:type="spellStart"/>
      <w:r>
        <w:rPr>
          <w:rFonts w:asciiTheme="minorHAnsi" w:hAnsiTheme="minorHAnsi"/>
          <w:bCs/>
          <w:color w:val="000000" w:themeColor="text1"/>
          <w:sz w:val="19"/>
          <w:szCs w:val="19"/>
        </w:rPr>
        <w:t>značaja</w:t>
      </w:r>
      <w:proofErr w:type="spellEnd"/>
      <w:r>
        <w:rPr>
          <w:rFonts w:asciiTheme="minorHAnsi" w:hAnsiTheme="minorHAnsi"/>
          <w:bCs/>
          <w:color w:val="000000" w:themeColor="text1"/>
          <w:sz w:val="19"/>
          <w:szCs w:val="19"/>
        </w:rPr>
        <w:t xml:space="preserve"> PVO</w:t>
      </w:r>
    </w:p>
    <w:p w14:paraId="4ADF906F" w14:textId="5B4703CA" w:rsidR="00DB5D24" w:rsidRPr="003130B7" w:rsidRDefault="00DB5D24" w:rsidP="00DB5D24">
      <w:pPr>
        <w:jc w:val="both"/>
        <w:rPr>
          <w:rFonts w:asciiTheme="minorHAnsi" w:hAnsiTheme="minorHAnsi"/>
          <w:sz w:val="19"/>
          <w:szCs w:val="19"/>
        </w:rPr>
      </w:pPr>
    </w:p>
    <w:p w14:paraId="1DDDC3DA" w14:textId="05A7EDE6" w:rsidR="00DB5D24" w:rsidRPr="002D6D78" w:rsidRDefault="00DB5D24" w:rsidP="00604ACF">
      <w:pPr>
        <w:jc w:val="both"/>
        <w:rPr>
          <w:rFonts w:asciiTheme="minorHAnsi" w:hAnsiTheme="minorHAnsi"/>
          <w:sz w:val="22"/>
          <w:szCs w:val="22"/>
        </w:rPr>
      </w:pPr>
      <w:bookmarkStart w:id="1" w:name="OLE_LINK1"/>
      <w:proofErr w:type="spellStart"/>
      <w:r w:rsidRPr="009A5949">
        <w:rPr>
          <w:rFonts w:asciiTheme="minorHAnsi" w:hAnsiTheme="minorHAnsi"/>
          <w:b/>
          <w:i/>
          <w:sz w:val="22"/>
          <w:szCs w:val="22"/>
        </w:rPr>
        <w:t>Kapaciteti</w:t>
      </w:r>
      <w:proofErr w:type="spellEnd"/>
      <w:r w:rsidRPr="009A5949">
        <w:rPr>
          <w:rFonts w:asciiTheme="minorHAnsi" w:hAnsiTheme="minorHAnsi"/>
          <w:b/>
          <w:i/>
          <w:sz w:val="22"/>
          <w:szCs w:val="22"/>
        </w:rPr>
        <w:t xml:space="preserve"> P</w:t>
      </w:r>
      <w:r w:rsidR="00F31D38" w:rsidRPr="009A5949">
        <w:rPr>
          <w:rFonts w:asciiTheme="minorHAnsi" w:hAnsiTheme="minorHAnsi"/>
          <w:b/>
          <w:i/>
          <w:sz w:val="22"/>
          <w:szCs w:val="22"/>
        </w:rPr>
        <w:t>VO</w:t>
      </w:r>
      <w:r w:rsidRPr="009A5949">
        <w:rPr>
          <w:rFonts w:asciiTheme="minorHAnsi" w:hAnsiTheme="minorHAnsi"/>
          <w:b/>
          <w:i/>
          <w:sz w:val="22"/>
          <w:szCs w:val="22"/>
        </w:rPr>
        <w:t xml:space="preserve"> </w:t>
      </w:r>
      <w:bookmarkEnd w:id="1"/>
      <w:r w:rsidR="003E2766">
        <w:rPr>
          <w:rFonts w:asciiTheme="minorHAnsi" w:hAnsiTheme="minorHAnsi"/>
          <w:b/>
          <w:i/>
          <w:sz w:val="22"/>
          <w:szCs w:val="22"/>
        </w:rPr>
        <w:t>je</w:t>
      </w:r>
      <w:r w:rsidR="009A5949" w:rsidRPr="009A5949">
        <w:rPr>
          <w:rFonts w:asciiTheme="minorHAnsi" w:hAnsiTheme="minorHAnsi"/>
          <w:b/>
          <w:i/>
          <w:sz w:val="22"/>
          <w:szCs w:val="22"/>
        </w:rPr>
        <w:t xml:space="preserve"> </w:t>
      </w:r>
      <w:proofErr w:type="spellStart"/>
      <w:r w:rsidR="009A5949" w:rsidRPr="009A5949">
        <w:rPr>
          <w:rFonts w:asciiTheme="minorHAnsi" w:hAnsiTheme="minorHAnsi"/>
          <w:b/>
          <w:i/>
          <w:sz w:val="22"/>
          <w:szCs w:val="22"/>
        </w:rPr>
        <w:t>zadovoljavajuć</w:t>
      </w:r>
      <w:proofErr w:type="spellEnd"/>
      <w:r w:rsidR="009A5949" w:rsidRPr="009A5949">
        <w:rPr>
          <w:rFonts w:asciiTheme="minorHAnsi" w:hAnsiTheme="minorHAnsi"/>
          <w:b/>
          <w:i/>
          <w:sz w:val="22"/>
          <w:szCs w:val="22"/>
        </w:rPr>
        <w:t xml:space="preserve"> u </w:t>
      </w:r>
      <w:proofErr w:type="spellStart"/>
      <w:r w:rsidR="009A5949" w:rsidRPr="009A5949">
        <w:rPr>
          <w:rFonts w:asciiTheme="minorHAnsi" w:hAnsiTheme="minorHAnsi"/>
          <w:b/>
          <w:i/>
          <w:sz w:val="22"/>
          <w:szCs w:val="22"/>
        </w:rPr>
        <w:t>odnosu</w:t>
      </w:r>
      <w:proofErr w:type="spellEnd"/>
      <w:r w:rsidR="009A5949" w:rsidRPr="009A5949">
        <w:rPr>
          <w:rFonts w:asciiTheme="minorHAnsi" w:hAnsiTheme="minorHAnsi"/>
          <w:b/>
          <w:i/>
          <w:sz w:val="22"/>
          <w:szCs w:val="22"/>
        </w:rPr>
        <w:t xml:space="preserve"> </w:t>
      </w:r>
      <w:proofErr w:type="spellStart"/>
      <w:r w:rsidR="009A5949" w:rsidRPr="009A5949">
        <w:rPr>
          <w:rFonts w:asciiTheme="minorHAnsi" w:hAnsiTheme="minorHAnsi"/>
          <w:b/>
          <w:i/>
          <w:sz w:val="22"/>
          <w:szCs w:val="22"/>
        </w:rPr>
        <w:t>na</w:t>
      </w:r>
      <w:proofErr w:type="spellEnd"/>
      <w:r w:rsidR="009A5949" w:rsidRPr="009A5949">
        <w:rPr>
          <w:rFonts w:asciiTheme="minorHAnsi" w:hAnsiTheme="minorHAnsi"/>
          <w:b/>
          <w:i/>
          <w:sz w:val="22"/>
          <w:szCs w:val="22"/>
        </w:rPr>
        <w:t xml:space="preserve"> </w:t>
      </w:r>
      <w:proofErr w:type="spellStart"/>
      <w:r w:rsidR="009A5949" w:rsidRPr="009A5949">
        <w:rPr>
          <w:rFonts w:asciiTheme="minorHAnsi" w:hAnsiTheme="minorHAnsi"/>
          <w:b/>
          <w:i/>
          <w:sz w:val="22"/>
          <w:szCs w:val="22"/>
        </w:rPr>
        <w:t>iskazanu</w:t>
      </w:r>
      <w:proofErr w:type="spellEnd"/>
      <w:r w:rsidR="009A5949" w:rsidRPr="009A5949">
        <w:rPr>
          <w:rFonts w:asciiTheme="minorHAnsi" w:hAnsiTheme="minorHAnsi"/>
          <w:b/>
          <w:i/>
          <w:sz w:val="22"/>
          <w:szCs w:val="22"/>
        </w:rPr>
        <w:t xml:space="preserve"> </w:t>
      </w:r>
      <w:proofErr w:type="spellStart"/>
      <w:r w:rsidR="009A5949" w:rsidRPr="009A5949">
        <w:rPr>
          <w:rFonts w:asciiTheme="minorHAnsi" w:hAnsiTheme="minorHAnsi"/>
          <w:b/>
          <w:i/>
          <w:sz w:val="22"/>
          <w:szCs w:val="22"/>
        </w:rPr>
        <w:t>tražnju</w:t>
      </w:r>
      <w:proofErr w:type="spellEnd"/>
      <w:r w:rsidR="009A5949" w:rsidRPr="009A5949">
        <w:rPr>
          <w:rFonts w:asciiTheme="minorHAnsi" w:hAnsiTheme="minorHAnsi"/>
          <w:b/>
          <w:i/>
          <w:sz w:val="22"/>
          <w:szCs w:val="22"/>
        </w:rPr>
        <w:t xml:space="preserve">. </w:t>
      </w:r>
      <w:proofErr w:type="spellStart"/>
      <w:r w:rsidR="003E2766">
        <w:rPr>
          <w:rFonts w:asciiTheme="minorHAnsi" w:hAnsiTheme="minorHAnsi"/>
          <w:sz w:val="22"/>
          <w:szCs w:val="22"/>
        </w:rPr>
        <w:t>Posebno</w:t>
      </w:r>
      <w:proofErr w:type="spellEnd"/>
      <w:r w:rsidR="003E2766">
        <w:rPr>
          <w:rFonts w:asciiTheme="minorHAnsi" w:hAnsiTheme="minorHAnsi"/>
          <w:sz w:val="22"/>
          <w:szCs w:val="22"/>
        </w:rPr>
        <w:t xml:space="preserve"> je </w:t>
      </w:r>
      <w:proofErr w:type="spellStart"/>
      <w:r w:rsidR="003E2766">
        <w:rPr>
          <w:rFonts w:asciiTheme="minorHAnsi" w:hAnsiTheme="minorHAnsi"/>
          <w:sz w:val="22"/>
          <w:szCs w:val="22"/>
        </w:rPr>
        <w:t>povhalno</w:t>
      </w:r>
      <w:proofErr w:type="spellEnd"/>
      <w:r w:rsidR="003E2766">
        <w:rPr>
          <w:rFonts w:asciiTheme="minorHAnsi" w:hAnsiTheme="minorHAnsi"/>
          <w:sz w:val="22"/>
          <w:szCs w:val="22"/>
        </w:rPr>
        <w:t xml:space="preserve"> </w:t>
      </w:r>
      <w:proofErr w:type="spellStart"/>
      <w:r w:rsidR="003E2766">
        <w:rPr>
          <w:rFonts w:asciiTheme="minorHAnsi" w:hAnsiTheme="minorHAnsi"/>
          <w:sz w:val="22"/>
          <w:szCs w:val="22"/>
        </w:rPr>
        <w:t>što</w:t>
      </w:r>
      <w:proofErr w:type="spellEnd"/>
      <w:r w:rsidR="003E2766">
        <w:rPr>
          <w:rFonts w:asciiTheme="minorHAnsi" w:hAnsiTheme="minorHAnsi"/>
          <w:sz w:val="22"/>
          <w:szCs w:val="22"/>
        </w:rPr>
        <w:t xml:space="preserve"> </w:t>
      </w:r>
      <w:proofErr w:type="spellStart"/>
      <w:r w:rsidR="003E2766">
        <w:rPr>
          <w:rFonts w:asciiTheme="minorHAnsi" w:hAnsiTheme="minorHAnsi"/>
          <w:sz w:val="22"/>
          <w:szCs w:val="22"/>
        </w:rPr>
        <w:t>ka</w:t>
      </w:r>
      <w:r w:rsidR="00061868">
        <w:rPr>
          <w:rFonts w:asciiTheme="minorHAnsi" w:hAnsiTheme="minorHAnsi"/>
          <w:sz w:val="22"/>
          <w:szCs w:val="22"/>
        </w:rPr>
        <w:t>p</w:t>
      </w:r>
      <w:r w:rsidR="003E2766">
        <w:rPr>
          <w:rFonts w:asciiTheme="minorHAnsi" w:hAnsiTheme="minorHAnsi"/>
          <w:sz w:val="22"/>
          <w:szCs w:val="22"/>
        </w:rPr>
        <w:t>aciteti</w:t>
      </w:r>
      <w:proofErr w:type="spellEnd"/>
      <w:r w:rsidR="003E2766">
        <w:rPr>
          <w:rFonts w:asciiTheme="minorHAnsi" w:hAnsiTheme="minorHAnsi"/>
          <w:sz w:val="22"/>
          <w:szCs w:val="22"/>
        </w:rPr>
        <w:t xml:space="preserve"> </w:t>
      </w:r>
      <w:proofErr w:type="spellStart"/>
      <w:r w:rsidR="003E2766">
        <w:rPr>
          <w:rFonts w:asciiTheme="minorHAnsi" w:hAnsiTheme="minorHAnsi"/>
          <w:sz w:val="22"/>
          <w:szCs w:val="22"/>
        </w:rPr>
        <w:t>postoje</w:t>
      </w:r>
      <w:proofErr w:type="spellEnd"/>
      <w:r w:rsidR="003E2766">
        <w:rPr>
          <w:rFonts w:asciiTheme="minorHAnsi" w:hAnsiTheme="minorHAnsi"/>
          <w:sz w:val="22"/>
          <w:szCs w:val="22"/>
        </w:rPr>
        <w:t xml:space="preserve"> </w:t>
      </w:r>
      <w:proofErr w:type="spellStart"/>
      <w:r w:rsidR="003E2766">
        <w:rPr>
          <w:rFonts w:asciiTheme="minorHAnsi" w:hAnsiTheme="minorHAnsi"/>
          <w:sz w:val="22"/>
          <w:szCs w:val="22"/>
        </w:rPr>
        <w:t>i</w:t>
      </w:r>
      <w:proofErr w:type="spellEnd"/>
      <w:r w:rsidR="003E2766">
        <w:rPr>
          <w:rFonts w:asciiTheme="minorHAnsi" w:hAnsiTheme="minorHAnsi"/>
          <w:sz w:val="22"/>
          <w:szCs w:val="22"/>
        </w:rPr>
        <w:t xml:space="preserve"> u </w:t>
      </w:r>
      <w:proofErr w:type="spellStart"/>
      <w:r w:rsidR="003E2766">
        <w:rPr>
          <w:rFonts w:asciiTheme="minorHAnsi" w:hAnsiTheme="minorHAnsi"/>
          <w:sz w:val="22"/>
          <w:szCs w:val="22"/>
        </w:rPr>
        <w:t>vangradskim</w:t>
      </w:r>
      <w:proofErr w:type="spellEnd"/>
      <w:r w:rsidR="003E2766">
        <w:rPr>
          <w:rFonts w:asciiTheme="minorHAnsi" w:hAnsiTheme="minorHAnsi"/>
          <w:sz w:val="22"/>
          <w:szCs w:val="22"/>
        </w:rPr>
        <w:t xml:space="preserve"> </w:t>
      </w:r>
      <w:proofErr w:type="spellStart"/>
      <w:r w:rsidR="003E2766">
        <w:rPr>
          <w:rFonts w:asciiTheme="minorHAnsi" w:hAnsiTheme="minorHAnsi"/>
          <w:sz w:val="22"/>
          <w:szCs w:val="22"/>
        </w:rPr>
        <w:t>naseljima</w:t>
      </w:r>
      <w:proofErr w:type="spellEnd"/>
      <w:r w:rsidR="003E2766">
        <w:rPr>
          <w:rFonts w:asciiTheme="minorHAnsi" w:hAnsiTheme="minorHAnsi"/>
          <w:sz w:val="22"/>
          <w:szCs w:val="22"/>
        </w:rPr>
        <w:t xml:space="preserve"> u </w:t>
      </w:r>
      <w:proofErr w:type="spellStart"/>
      <w:r w:rsidR="003E2766">
        <w:rPr>
          <w:rFonts w:asciiTheme="minorHAnsi" w:hAnsiTheme="minorHAnsi"/>
          <w:sz w:val="22"/>
          <w:szCs w:val="22"/>
        </w:rPr>
        <w:t>skoro</w:t>
      </w:r>
      <w:proofErr w:type="spellEnd"/>
      <w:r w:rsidR="003E2766">
        <w:rPr>
          <w:rFonts w:asciiTheme="minorHAnsi" w:hAnsiTheme="minorHAnsi"/>
          <w:sz w:val="22"/>
          <w:szCs w:val="22"/>
        </w:rPr>
        <w:t xml:space="preserve"> </w:t>
      </w:r>
      <w:proofErr w:type="spellStart"/>
      <w:r w:rsidR="003E2766">
        <w:rPr>
          <w:rFonts w:asciiTheme="minorHAnsi" w:hAnsiTheme="minorHAnsi"/>
          <w:sz w:val="22"/>
          <w:szCs w:val="22"/>
        </w:rPr>
        <w:t>istoj</w:t>
      </w:r>
      <w:proofErr w:type="spellEnd"/>
      <w:r w:rsidR="003E2766">
        <w:rPr>
          <w:rFonts w:asciiTheme="minorHAnsi" w:hAnsiTheme="minorHAnsi"/>
          <w:sz w:val="22"/>
          <w:szCs w:val="22"/>
        </w:rPr>
        <w:t xml:space="preserve"> meri </w:t>
      </w:r>
      <w:proofErr w:type="spellStart"/>
      <w:r w:rsidR="003E2766">
        <w:rPr>
          <w:rFonts w:asciiTheme="minorHAnsi" w:hAnsiTheme="minorHAnsi"/>
          <w:sz w:val="22"/>
          <w:szCs w:val="22"/>
        </w:rPr>
        <w:t>koliko</w:t>
      </w:r>
      <w:proofErr w:type="spellEnd"/>
      <w:r w:rsidR="003E2766">
        <w:rPr>
          <w:rFonts w:asciiTheme="minorHAnsi" w:hAnsiTheme="minorHAnsi"/>
          <w:sz w:val="22"/>
          <w:szCs w:val="22"/>
        </w:rPr>
        <w:t xml:space="preserve"> </w:t>
      </w:r>
      <w:proofErr w:type="spellStart"/>
      <w:r w:rsidR="003E2766">
        <w:rPr>
          <w:rFonts w:asciiTheme="minorHAnsi" w:hAnsiTheme="minorHAnsi"/>
          <w:sz w:val="22"/>
          <w:szCs w:val="22"/>
        </w:rPr>
        <w:t>i</w:t>
      </w:r>
      <w:proofErr w:type="spellEnd"/>
      <w:r w:rsidR="003E2766">
        <w:rPr>
          <w:rFonts w:asciiTheme="minorHAnsi" w:hAnsiTheme="minorHAnsi"/>
          <w:sz w:val="22"/>
          <w:szCs w:val="22"/>
        </w:rPr>
        <w:t xml:space="preserve"> u </w:t>
      </w:r>
      <w:proofErr w:type="spellStart"/>
      <w:r w:rsidR="003E2766">
        <w:rPr>
          <w:rFonts w:asciiTheme="minorHAnsi" w:hAnsiTheme="minorHAnsi"/>
          <w:sz w:val="22"/>
          <w:szCs w:val="22"/>
        </w:rPr>
        <w:t>gradskim</w:t>
      </w:r>
      <w:proofErr w:type="spellEnd"/>
      <w:r w:rsidR="003E2766">
        <w:rPr>
          <w:rFonts w:asciiTheme="minorHAnsi" w:hAnsiTheme="minorHAnsi"/>
          <w:sz w:val="22"/>
          <w:szCs w:val="22"/>
        </w:rPr>
        <w:t xml:space="preserve">. </w:t>
      </w:r>
      <w:r w:rsidR="009A5949" w:rsidRPr="009A5949">
        <w:rPr>
          <w:rFonts w:asciiTheme="minorHAnsi" w:hAnsiTheme="minorHAnsi"/>
          <w:sz w:val="22"/>
          <w:szCs w:val="22"/>
        </w:rPr>
        <w:t xml:space="preserve"> </w:t>
      </w:r>
    </w:p>
    <w:p w14:paraId="5FAF481A" w14:textId="77777777" w:rsidR="00DB5D24" w:rsidRPr="002D6D78" w:rsidRDefault="00DB5D24" w:rsidP="00DB5D24">
      <w:pPr>
        <w:rPr>
          <w:rFonts w:asciiTheme="minorHAnsi" w:hAnsiTheme="minorHAnsi"/>
          <w:b/>
        </w:rPr>
      </w:pPr>
    </w:p>
    <w:p w14:paraId="626DF957" w14:textId="29D408B9" w:rsidR="00DB5D24" w:rsidRPr="00001AF1" w:rsidRDefault="00DB5D24" w:rsidP="00DB5D24">
      <w:pPr>
        <w:spacing w:after="60"/>
        <w:jc w:val="center"/>
        <w:rPr>
          <w:rFonts w:ascii="Cambria" w:hAnsi="Cambria"/>
          <w:b/>
          <w:sz w:val="22"/>
          <w:szCs w:val="22"/>
        </w:rPr>
      </w:pPr>
      <w:proofErr w:type="spellStart"/>
      <w:r w:rsidRPr="00001AF1">
        <w:rPr>
          <w:rFonts w:ascii="Cambria" w:hAnsi="Cambria"/>
          <w:b/>
          <w:sz w:val="22"/>
          <w:szCs w:val="22"/>
        </w:rPr>
        <w:t>Tabela</w:t>
      </w:r>
      <w:proofErr w:type="spellEnd"/>
      <w:r w:rsidRPr="00001AF1">
        <w:rPr>
          <w:rFonts w:ascii="Cambria" w:hAnsi="Cambria"/>
          <w:b/>
          <w:sz w:val="22"/>
          <w:szCs w:val="22"/>
        </w:rPr>
        <w:t xml:space="preserve"> </w:t>
      </w:r>
      <w:r w:rsidR="009A51E8">
        <w:rPr>
          <w:rFonts w:ascii="Cambria" w:hAnsi="Cambria"/>
          <w:b/>
          <w:sz w:val="22"/>
          <w:szCs w:val="22"/>
        </w:rPr>
        <w:t>2</w:t>
      </w:r>
      <w:r w:rsidRPr="00001AF1">
        <w:rPr>
          <w:rFonts w:ascii="Cambria" w:hAnsi="Cambria"/>
          <w:b/>
          <w:sz w:val="22"/>
          <w:szCs w:val="22"/>
        </w:rPr>
        <w:t xml:space="preserve">. </w:t>
      </w:r>
      <w:proofErr w:type="spellStart"/>
      <w:r w:rsidRPr="00001AF1">
        <w:rPr>
          <w:rFonts w:ascii="Cambria" w:hAnsi="Cambria"/>
          <w:b/>
          <w:sz w:val="22"/>
          <w:szCs w:val="22"/>
        </w:rPr>
        <w:t>Predškolsko</w:t>
      </w:r>
      <w:proofErr w:type="spellEnd"/>
      <w:r w:rsidRPr="00001AF1">
        <w:rPr>
          <w:rFonts w:ascii="Cambria" w:hAnsi="Cambria"/>
          <w:b/>
          <w:sz w:val="22"/>
          <w:szCs w:val="22"/>
        </w:rPr>
        <w:t xml:space="preserve"> </w:t>
      </w:r>
      <w:proofErr w:type="spellStart"/>
      <w:r w:rsidRPr="00001AF1">
        <w:rPr>
          <w:rFonts w:ascii="Cambria" w:hAnsi="Cambria"/>
          <w:b/>
          <w:sz w:val="22"/>
          <w:szCs w:val="22"/>
        </w:rPr>
        <w:t>obrazovanje</w:t>
      </w:r>
      <w:proofErr w:type="spellEnd"/>
      <w:r w:rsidRPr="00001AF1">
        <w:rPr>
          <w:rFonts w:ascii="Cambria" w:hAnsi="Cambria"/>
          <w:b/>
          <w:sz w:val="22"/>
          <w:szCs w:val="22"/>
        </w:rPr>
        <w:t xml:space="preserve"> – </w:t>
      </w:r>
      <w:proofErr w:type="spellStart"/>
      <w:r w:rsidRPr="00001AF1">
        <w:rPr>
          <w:rFonts w:ascii="Cambria" w:hAnsi="Cambria"/>
          <w:b/>
          <w:sz w:val="22"/>
          <w:szCs w:val="22"/>
        </w:rPr>
        <w:t>kapacitet</w:t>
      </w:r>
      <w:proofErr w:type="spellEnd"/>
      <w:r w:rsidRPr="00001AF1">
        <w:rPr>
          <w:rFonts w:ascii="Cambria" w:hAnsi="Cambria"/>
          <w:b/>
          <w:sz w:val="22"/>
          <w:szCs w:val="22"/>
        </w:rPr>
        <w:t>, 201</w:t>
      </w:r>
      <w:r w:rsidR="003E4794">
        <w:rPr>
          <w:rFonts w:ascii="Cambria" w:hAnsi="Cambria"/>
          <w:b/>
          <w:sz w:val="22"/>
          <w:szCs w:val="22"/>
        </w:rPr>
        <w:t>9</w:t>
      </w:r>
      <w:r w:rsidRPr="00001AF1">
        <w:rPr>
          <w:rFonts w:ascii="Cambria" w:hAnsi="Cambria"/>
          <w:b/>
          <w:sz w:val="22"/>
          <w:szCs w:val="22"/>
        </w:rPr>
        <w:t xml:space="preserve">. </w:t>
      </w:r>
      <w:proofErr w:type="spellStart"/>
      <w:r w:rsidRPr="00001AF1">
        <w:rPr>
          <w:rFonts w:ascii="Cambria" w:hAnsi="Cambria"/>
          <w:b/>
          <w:sz w:val="22"/>
          <w:szCs w:val="22"/>
        </w:rPr>
        <w:t>godina</w:t>
      </w:r>
      <w:proofErr w:type="spellEnd"/>
    </w:p>
    <w:tbl>
      <w:tblPr>
        <w:tblW w:w="8360" w:type="dxa"/>
        <w:tblLook w:val="04A0" w:firstRow="1" w:lastRow="0" w:firstColumn="1" w:lastColumn="0" w:noHBand="0" w:noVBand="1"/>
      </w:tblPr>
      <w:tblGrid>
        <w:gridCol w:w="3060"/>
        <w:gridCol w:w="1740"/>
        <w:gridCol w:w="1780"/>
        <w:gridCol w:w="1780"/>
      </w:tblGrid>
      <w:tr w:rsidR="00DB5D24" w:rsidRPr="002D6D78" w14:paraId="17D7AC0B" w14:textId="77777777" w:rsidTr="005B59B4">
        <w:trPr>
          <w:trHeight w:val="465"/>
        </w:trPr>
        <w:tc>
          <w:tcPr>
            <w:tcW w:w="3060" w:type="dxa"/>
            <w:tcBorders>
              <w:top w:val="single" w:sz="12" w:space="0" w:color="78A0D0"/>
              <w:left w:val="nil"/>
              <w:bottom w:val="single" w:sz="4" w:space="0" w:color="auto"/>
              <w:right w:val="nil"/>
            </w:tcBorders>
            <w:shd w:val="clear" w:color="auto" w:fill="auto"/>
            <w:noWrap/>
            <w:vAlign w:val="bottom"/>
            <w:hideMark/>
          </w:tcPr>
          <w:p w14:paraId="30036E06" w14:textId="77777777" w:rsidR="00DB5D24" w:rsidRPr="002D6D78" w:rsidRDefault="00DB5D24" w:rsidP="005B59B4">
            <w:pPr>
              <w:rPr>
                <w:rFonts w:asciiTheme="minorHAnsi" w:hAnsiTheme="minorHAnsi" w:cs="Arial"/>
                <w:color w:val="000000"/>
                <w:sz w:val="21"/>
                <w:szCs w:val="21"/>
              </w:rPr>
            </w:pPr>
            <w:r w:rsidRPr="002D6D78">
              <w:rPr>
                <w:rFonts w:asciiTheme="minorHAnsi" w:hAnsiTheme="minorHAnsi" w:cs="Arial"/>
                <w:color w:val="000000"/>
                <w:sz w:val="21"/>
                <w:szCs w:val="21"/>
              </w:rPr>
              <w:t> </w:t>
            </w:r>
          </w:p>
        </w:tc>
        <w:tc>
          <w:tcPr>
            <w:tcW w:w="1740" w:type="dxa"/>
            <w:tcBorders>
              <w:top w:val="single" w:sz="12" w:space="0" w:color="78A0D0"/>
              <w:left w:val="nil"/>
              <w:bottom w:val="single" w:sz="4" w:space="0" w:color="auto"/>
              <w:right w:val="nil"/>
            </w:tcBorders>
            <w:shd w:val="clear" w:color="auto" w:fill="auto"/>
            <w:vAlign w:val="center"/>
            <w:hideMark/>
          </w:tcPr>
          <w:p w14:paraId="0EA0B9D8" w14:textId="77777777" w:rsidR="00DB5D24" w:rsidRPr="002D6D78" w:rsidRDefault="00DB5D24" w:rsidP="005B59B4">
            <w:pPr>
              <w:jc w:val="center"/>
              <w:rPr>
                <w:rFonts w:asciiTheme="minorHAnsi" w:hAnsiTheme="minorHAnsi" w:cs="Arial"/>
                <w:color w:val="000000"/>
                <w:sz w:val="21"/>
                <w:szCs w:val="21"/>
              </w:rPr>
            </w:pPr>
            <w:proofErr w:type="spellStart"/>
            <w:r w:rsidRPr="002D6D78">
              <w:rPr>
                <w:rFonts w:asciiTheme="minorHAnsi" w:hAnsiTheme="minorHAnsi" w:cs="Arial"/>
                <w:color w:val="000000"/>
                <w:sz w:val="21"/>
                <w:szCs w:val="21"/>
              </w:rPr>
              <w:t>Ukupno</w:t>
            </w:r>
            <w:proofErr w:type="spellEnd"/>
          </w:p>
        </w:tc>
        <w:tc>
          <w:tcPr>
            <w:tcW w:w="1780" w:type="dxa"/>
            <w:tcBorders>
              <w:top w:val="single" w:sz="12" w:space="0" w:color="78A0D0"/>
              <w:left w:val="nil"/>
              <w:bottom w:val="single" w:sz="4" w:space="0" w:color="auto"/>
              <w:right w:val="nil"/>
            </w:tcBorders>
            <w:shd w:val="clear" w:color="auto" w:fill="auto"/>
            <w:vAlign w:val="center"/>
            <w:hideMark/>
          </w:tcPr>
          <w:p w14:paraId="470648E4" w14:textId="77777777" w:rsidR="00DB5D24" w:rsidRPr="002D6D78" w:rsidRDefault="00DB5D24" w:rsidP="005B59B4">
            <w:pPr>
              <w:jc w:val="center"/>
              <w:rPr>
                <w:rFonts w:asciiTheme="minorHAnsi" w:hAnsiTheme="minorHAnsi" w:cs="Arial"/>
                <w:color w:val="000000"/>
                <w:sz w:val="21"/>
                <w:szCs w:val="21"/>
              </w:rPr>
            </w:pPr>
            <w:proofErr w:type="spellStart"/>
            <w:r w:rsidRPr="002D6D78">
              <w:rPr>
                <w:rFonts w:asciiTheme="minorHAnsi" w:hAnsiTheme="minorHAnsi" w:cs="Arial"/>
                <w:color w:val="000000"/>
                <w:sz w:val="21"/>
                <w:szCs w:val="21"/>
              </w:rPr>
              <w:t>Gradska</w:t>
            </w:r>
            <w:proofErr w:type="spellEnd"/>
            <w:r w:rsidRPr="002D6D78">
              <w:rPr>
                <w:rFonts w:asciiTheme="minorHAnsi" w:hAnsiTheme="minorHAnsi" w:cs="Arial"/>
                <w:color w:val="000000"/>
                <w:sz w:val="21"/>
                <w:szCs w:val="21"/>
              </w:rPr>
              <w:t xml:space="preserve"> </w:t>
            </w:r>
            <w:proofErr w:type="spellStart"/>
            <w:r w:rsidRPr="002D6D78">
              <w:rPr>
                <w:rFonts w:asciiTheme="minorHAnsi" w:hAnsiTheme="minorHAnsi" w:cs="Arial"/>
                <w:color w:val="000000"/>
                <w:sz w:val="21"/>
                <w:szCs w:val="21"/>
              </w:rPr>
              <w:t>naselja</w:t>
            </w:r>
            <w:proofErr w:type="spellEnd"/>
          </w:p>
        </w:tc>
        <w:tc>
          <w:tcPr>
            <w:tcW w:w="1780" w:type="dxa"/>
            <w:tcBorders>
              <w:top w:val="single" w:sz="12" w:space="0" w:color="78A0D0"/>
              <w:left w:val="nil"/>
              <w:bottom w:val="single" w:sz="4" w:space="0" w:color="auto"/>
              <w:right w:val="nil"/>
            </w:tcBorders>
            <w:shd w:val="clear" w:color="auto" w:fill="auto"/>
            <w:vAlign w:val="center"/>
            <w:hideMark/>
          </w:tcPr>
          <w:p w14:paraId="57274039" w14:textId="77777777" w:rsidR="00DB5D24" w:rsidRPr="002D6D78" w:rsidRDefault="00DB5D24" w:rsidP="005B59B4">
            <w:pPr>
              <w:jc w:val="center"/>
              <w:rPr>
                <w:rFonts w:asciiTheme="minorHAnsi" w:hAnsiTheme="minorHAnsi" w:cs="Arial"/>
                <w:color w:val="000000"/>
                <w:sz w:val="21"/>
                <w:szCs w:val="21"/>
              </w:rPr>
            </w:pPr>
            <w:proofErr w:type="spellStart"/>
            <w:r w:rsidRPr="002D6D78">
              <w:rPr>
                <w:rFonts w:asciiTheme="minorHAnsi" w:hAnsiTheme="minorHAnsi" w:cs="Arial"/>
                <w:color w:val="000000"/>
                <w:sz w:val="21"/>
                <w:szCs w:val="21"/>
              </w:rPr>
              <w:t>Ostala</w:t>
            </w:r>
            <w:proofErr w:type="spellEnd"/>
            <w:r w:rsidRPr="002D6D78">
              <w:rPr>
                <w:rFonts w:asciiTheme="minorHAnsi" w:hAnsiTheme="minorHAnsi" w:cs="Arial"/>
                <w:color w:val="000000"/>
                <w:sz w:val="21"/>
                <w:szCs w:val="21"/>
              </w:rPr>
              <w:t xml:space="preserve"> </w:t>
            </w:r>
            <w:proofErr w:type="spellStart"/>
            <w:r w:rsidRPr="002D6D78">
              <w:rPr>
                <w:rFonts w:asciiTheme="minorHAnsi" w:hAnsiTheme="minorHAnsi" w:cs="Arial"/>
                <w:color w:val="000000"/>
                <w:sz w:val="21"/>
                <w:szCs w:val="21"/>
              </w:rPr>
              <w:t>naselja</w:t>
            </w:r>
            <w:proofErr w:type="spellEnd"/>
          </w:p>
        </w:tc>
      </w:tr>
      <w:tr w:rsidR="00DB5D24" w:rsidRPr="002D6D78" w14:paraId="77F03D41" w14:textId="77777777" w:rsidTr="005B59B4">
        <w:trPr>
          <w:trHeight w:val="395"/>
        </w:trPr>
        <w:tc>
          <w:tcPr>
            <w:tcW w:w="3060" w:type="dxa"/>
            <w:tcBorders>
              <w:top w:val="nil"/>
              <w:left w:val="nil"/>
              <w:bottom w:val="nil"/>
              <w:right w:val="nil"/>
            </w:tcBorders>
            <w:shd w:val="clear" w:color="auto" w:fill="auto"/>
            <w:vAlign w:val="center"/>
            <w:hideMark/>
          </w:tcPr>
          <w:p w14:paraId="47EFD399" w14:textId="77777777" w:rsidR="00DB5D24" w:rsidRPr="002D6D78" w:rsidRDefault="00DB5D24" w:rsidP="005B59B4">
            <w:pPr>
              <w:rPr>
                <w:rFonts w:asciiTheme="minorHAnsi" w:hAnsiTheme="minorHAnsi" w:cs="Arial"/>
                <w:sz w:val="21"/>
                <w:szCs w:val="21"/>
              </w:rPr>
            </w:pPr>
            <w:proofErr w:type="spellStart"/>
            <w:r w:rsidRPr="002D6D78">
              <w:rPr>
                <w:rFonts w:asciiTheme="minorHAnsi" w:hAnsiTheme="minorHAnsi" w:cs="Arial"/>
                <w:sz w:val="21"/>
                <w:szCs w:val="21"/>
              </w:rPr>
              <w:t>Primljeni</w:t>
            </w:r>
            <w:proofErr w:type="spellEnd"/>
          </w:p>
        </w:tc>
        <w:tc>
          <w:tcPr>
            <w:tcW w:w="1740" w:type="dxa"/>
            <w:tcBorders>
              <w:top w:val="nil"/>
              <w:left w:val="nil"/>
              <w:bottom w:val="nil"/>
              <w:right w:val="nil"/>
            </w:tcBorders>
            <w:shd w:val="clear" w:color="auto" w:fill="auto"/>
            <w:noWrap/>
            <w:vAlign w:val="center"/>
            <w:hideMark/>
          </w:tcPr>
          <w:p w14:paraId="569577DC" w14:textId="674889DC" w:rsidR="00DB5D24" w:rsidRPr="003E2766" w:rsidRDefault="003E2766" w:rsidP="005B59B4">
            <w:pPr>
              <w:jc w:val="center"/>
              <w:rPr>
                <w:rFonts w:asciiTheme="minorHAnsi" w:hAnsiTheme="minorHAnsi" w:cs="Arial"/>
                <w:sz w:val="21"/>
                <w:szCs w:val="21"/>
                <w:lang w:val="sr-Latn-RS"/>
              </w:rPr>
            </w:pPr>
            <w:r>
              <w:rPr>
                <w:rFonts w:asciiTheme="minorHAnsi" w:hAnsiTheme="minorHAnsi" w:cs="Arial"/>
                <w:sz w:val="21"/>
                <w:szCs w:val="21"/>
                <w:lang w:val="sr-Latn-RS"/>
              </w:rPr>
              <w:t>321</w:t>
            </w:r>
          </w:p>
        </w:tc>
        <w:tc>
          <w:tcPr>
            <w:tcW w:w="1780" w:type="dxa"/>
            <w:tcBorders>
              <w:top w:val="nil"/>
              <w:left w:val="nil"/>
              <w:bottom w:val="nil"/>
              <w:right w:val="nil"/>
            </w:tcBorders>
            <w:shd w:val="clear" w:color="auto" w:fill="auto"/>
            <w:noWrap/>
            <w:vAlign w:val="center"/>
            <w:hideMark/>
          </w:tcPr>
          <w:p w14:paraId="3F24269D" w14:textId="520BDC2C" w:rsidR="00DB5D24" w:rsidRPr="003E2766" w:rsidRDefault="003E2766" w:rsidP="005B59B4">
            <w:pPr>
              <w:jc w:val="center"/>
              <w:rPr>
                <w:rFonts w:asciiTheme="minorHAnsi" w:hAnsiTheme="minorHAnsi" w:cs="Arial"/>
                <w:sz w:val="21"/>
                <w:szCs w:val="21"/>
                <w:lang w:val="sr-Latn-RS"/>
              </w:rPr>
            </w:pPr>
            <w:r>
              <w:rPr>
                <w:rFonts w:asciiTheme="minorHAnsi" w:hAnsiTheme="minorHAnsi" w:cs="Arial"/>
                <w:sz w:val="21"/>
                <w:szCs w:val="21"/>
                <w:lang w:val="sr-Latn-RS"/>
              </w:rPr>
              <w:t>167</w:t>
            </w:r>
          </w:p>
        </w:tc>
        <w:tc>
          <w:tcPr>
            <w:tcW w:w="1780" w:type="dxa"/>
            <w:tcBorders>
              <w:top w:val="nil"/>
              <w:left w:val="nil"/>
              <w:bottom w:val="nil"/>
              <w:right w:val="nil"/>
            </w:tcBorders>
            <w:shd w:val="clear" w:color="auto" w:fill="auto"/>
            <w:noWrap/>
            <w:vAlign w:val="center"/>
            <w:hideMark/>
          </w:tcPr>
          <w:p w14:paraId="68EA19E4" w14:textId="128E2732" w:rsidR="00DB5D24" w:rsidRPr="00BC595C" w:rsidRDefault="003E2766" w:rsidP="005B59B4">
            <w:pPr>
              <w:jc w:val="center"/>
              <w:rPr>
                <w:rFonts w:asciiTheme="minorHAnsi" w:hAnsiTheme="minorHAnsi" w:cs="Arial"/>
                <w:sz w:val="21"/>
                <w:szCs w:val="21"/>
                <w:lang w:val="sr-Cyrl-RS"/>
              </w:rPr>
            </w:pPr>
            <w:r>
              <w:rPr>
                <w:rFonts w:asciiTheme="minorHAnsi" w:hAnsiTheme="minorHAnsi" w:cs="Arial"/>
                <w:sz w:val="21"/>
                <w:szCs w:val="21"/>
                <w:lang w:val="sr-Latn-RS"/>
              </w:rPr>
              <w:t>15</w:t>
            </w:r>
            <w:r w:rsidR="00BC595C">
              <w:rPr>
                <w:rFonts w:asciiTheme="minorHAnsi" w:hAnsiTheme="minorHAnsi" w:cs="Arial"/>
                <w:sz w:val="21"/>
                <w:szCs w:val="21"/>
                <w:lang w:val="sr-Cyrl-RS"/>
              </w:rPr>
              <w:t>4</w:t>
            </w:r>
          </w:p>
        </w:tc>
      </w:tr>
      <w:tr w:rsidR="00DB5D24" w:rsidRPr="002D6D78" w14:paraId="6FC1C113" w14:textId="77777777" w:rsidTr="005B59B4">
        <w:trPr>
          <w:trHeight w:val="333"/>
        </w:trPr>
        <w:tc>
          <w:tcPr>
            <w:tcW w:w="3060" w:type="dxa"/>
            <w:tcBorders>
              <w:top w:val="nil"/>
              <w:left w:val="nil"/>
              <w:bottom w:val="nil"/>
              <w:right w:val="nil"/>
            </w:tcBorders>
            <w:shd w:val="clear" w:color="auto" w:fill="auto"/>
            <w:vAlign w:val="center"/>
            <w:hideMark/>
          </w:tcPr>
          <w:p w14:paraId="566AE95D" w14:textId="77777777" w:rsidR="00DB5D24" w:rsidRPr="002D6D78" w:rsidRDefault="00DB5D24" w:rsidP="005B59B4">
            <w:pPr>
              <w:rPr>
                <w:rFonts w:asciiTheme="minorHAnsi" w:hAnsiTheme="minorHAnsi" w:cs="Arial"/>
                <w:sz w:val="21"/>
                <w:szCs w:val="21"/>
              </w:rPr>
            </w:pPr>
            <w:proofErr w:type="spellStart"/>
            <w:r w:rsidRPr="002D6D78">
              <w:rPr>
                <w:rFonts w:asciiTheme="minorHAnsi" w:hAnsiTheme="minorHAnsi" w:cs="Arial"/>
                <w:sz w:val="21"/>
                <w:szCs w:val="21"/>
              </w:rPr>
              <w:t>Upisani</w:t>
            </w:r>
            <w:proofErr w:type="spellEnd"/>
            <w:r w:rsidRPr="002D6D78">
              <w:rPr>
                <w:rFonts w:asciiTheme="minorHAnsi" w:hAnsiTheme="minorHAnsi" w:cs="Arial"/>
                <w:sz w:val="21"/>
                <w:szCs w:val="21"/>
              </w:rPr>
              <w:t xml:space="preserve"> </w:t>
            </w:r>
            <w:proofErr w:type="spellStart"/>
            <w:r w:rsidRPr="002D6D78">
              <w:rPr>
                <w:rFonts w:asciiTheme="minorHAnsi" w:hAnsiTheme="minorHAnsi" w:cs="Arial"/>
                <w:sz w:val="21"/>
                <w:szCs w:val="21"/>
              </w:rPr>
              <w:t>preko</w:t>
            </w:r>
            <w:proofErr w:type="spellEnd"/>
            <w:r w:rsidRPr="002D6D78">
              <w:rPr>
                <w:rFonts w:asciiTheme="minorHAnsi" w:hAnsiTheme="minorHAnsi" w:cs="Arial"/>
                <w:sz w:val="21"/>
                <w:szCs w:val="21"/>
              </w:rPr>
              <w:t xml:space="preserve"> </w:t>
            </w:r>
            <w:proofErr w:type="spellStart"/>
            <w:r w:rsidRPr="002D6D78">
              <w:rPr>
                <w:rFonts w:asciiTheme="minorHAnsi" w:hAnsiTheme="minorHAnsi" w:cs="Arial"/>
                <w:sz w:val="21"/>
                <w:szCs w:val="21"/>
              </w:rPr>
              <w:t>kapaciteta</w:t>
            </w:r>
            <w:proofErr w:type="spellEnd"/>
          </w:p>
        </w:tc>
        <w:tc>
          <w:tcPr>
            <w:tcW w:w="1740" w:type="dxa"/>
            <w:tcBorders>
              <w:top w:val="nil"/>
              <w:left w:val="nil"/>
              <w:bottom w:val="nil"/>
              <w:right w:val="nil"/>
            </w:tcBorders>
            <w:shd w:val="clear" w:color="auto" w:fill="auto"/>
            <w:noWrap/>
            <w:vAlign w:val="center"/>
            <w:hideMark/>
          </w:tcPr>
          <w:p w14:paraId="5E876D46" w14:textId="4AE12C47" w:rsidR="00DB5D24" w:rsidRPr="003E2766" w:rsidRDefault="003E2766" w:rsidP="005B59B4">
            <w:pPr>
              <w:jc w:val="center"/>
              <w:rPr>
                <w:rFonts w:asciiTheme="minorHAnsi" w:hAnsiTheme="minorHAnsi" w:cs="Arial"/>
                <w:sz w:val="21"/>
                <w:szCs w:val="21"/>
                <w:lang w:val="sr-Latn-RS"/>
              </w:rPr>
            </w:pPr>
            <w:r>
              <w:rPr>
                <w:rFonts w:asciiTheme="minorHAnsi" w:hAnsiTheme="minorHAnsi" w:cs="Arial"/>
                <w:sz w:val="21"/>
                <w:szCs w:val="21"/>
                <w:lang w:val="sr-Latn-RS"/>
              </w:rPr>
              <w:t>0</w:t>
            </w:r>
          </w:p>
        </w:tc>
        <w:tc>
          <w:tcPr>
            <w:tcW w:w="1780" w:type="dxa"/>
            <w:tcBorders>
              <w:top w:val="nil"/>
              <w:left w:val="nil"/>
              <w:bottom w:val="nil"/>
              <w:right w:val="nil"/>
            </w:tcBorders>
            <w:shd w:val="clear" w:color="auto" w:fill="auto"/>
            <w:noWrap/>
            <w:vAlign w:val="center"/>
            <w:hideMark/>
          </w:tcPr>
          <w:p w14:paraId="0C780421" w14:textId="49B16279" w:rsidR="00DB5D24" w:rsidRPr="003E2766" w:rsidRDefault="003E2766" w:rsidP="005B59B4">
            <w:pPr>
              <w:jc w:val="center"/>
              <w:rPr>
                <w:rFonts w:asciiTheme="minorHAnsi" w:hAnsiTheme="minorHAnsi" w:cs="Arial"/>
                <w:sz w:val="21"/>
                <w:szCs w:val="21"/>
                <w:lang w:val="sr-Latn-RS"/>
              </w:rPr>
            </w:pPr>
            <w:r>
              <w:rPr>
                <w:rFonts w:asciiTheme="minorHAnsi" w:hAnsiTheme="minorHAnsi" w:cs="Arial"/>
                <w:sz w:val="21"/>
                <w:szCs w:val="21"/>
                <w:lang w:val="sr-Latn-RS"/>
              </w:rPr>
              <w:t>0</w:t>
            </w:r>
          </w:p>
        </w:tc>
        <w:tc>
          <w:tcPr>
            <w:tcW w:w="1780" w:type="dxa"/>
            <w:tcBorders>
              <w:top w:val="nil"/>
              <w:left w:val="nil"/>
              <w:bottom w:val="nil"/>
              <w:right w:val="nil"/>
            </w:tcBorders>
            <w:shd w:val="clear" w:color="auto" w:fill="auto"/>
            <w:noWrap/>
            <w:vAlign w:val="center"/>
            <w:hideMark/>
          </w:tcPr>
          <w:p w14:paraId="73431677" w14:textId="77777777" w:rsidR="00DB5D24" w:rsidRPr="002D6D78" w:rsidRDefault="00DB5D24" w:rsidP="005B59B4">
            <w:pPr>
              <w:jc w:val="center"/>
              <w:rPr>
                <w:rFonts w:asciiTheme="minorHAnsi" w:hAnsiTheme="minorHAnsi" w:cs="Arial"/>
                <w:sz w:val="21"/>
                <w:szCs w:val="21"/>
              </w:rPr>
            </w:pPr>
            <w:r w:rsidRPr="002D6D78">
              <w:rPr>
                <w:rFonts w:asciiTheme="minorHAnsi" w:hAnsiTheme="minorHAnsi" w:cs="Arial"/>
                <w:sz w:val="21"/>
                <w:szCs w:val="21"/>
              </w:rPr>
              <w:t>0</w:t>
            </w:r>
          </w:p>
        </w:tc>
      </w:tr>
      <w:tr w:rsidR="00DB5D24" w:rsidRPr="002D6D78" w14:paraId="447A9785" w14:textId="77777777" w:rsidTr="005B59B4">
        <w:trPr>
          <w:trHeight w:val="612"/>
        </w:trPr>
        <w:tc>
          <w:tcPr>
            <w:tcW w:w="3060" w:type="dxa"/>
            <w:tcBorders>
              <w:top w:val="nil"/>
              <w:left w:val="nil"/>
              <w:bottom w:val="single" w:sz="12" w:space="0" w:color="78A0D0"/>
              <w:right w:val="nil"/>
            </w:tcBorders>
            <w:shd w:val="clear" w:color="auto" w:fill="auto"/>
            <w:vAlign w:val="center"/>
            <w:hideMark/>
          </w:tcPr>
          <w:p w14:paraId="7718DAD4" w14:textId="77777777" w:rsidR="00DB5D24" w:rsidRPr="002D6D78" w:rsidRDefault="00DB5D24" w:rsidP="005B59B4">
            <w:pPr>
              <w:rPr>
                <w:rFonts w:asciiTheme="minorHAnsi" w:hAnsiTheme="minorHAnsi" w:cs="Arial"/>
                <w:sz w:val="21"/>
                <w:szCs w:val="21"/>
              </w:rPr>
            </w:pPr>
            <w:proofErr w:type="spellStart"/>
            <w:r w:rsidRPr="002D6D78">
              <w:rPr>
                <w:rFonts w:asciiTheme="minorHAnsi" w:hAnsiTheme="minorHAnsi" w:cs="Arial"/>
                <w:sz w:val="21"/>
                <w:szCs w:val="21"/>
              </w:rPr>
              <w:t>Nisu</w:t>
            </w:r>
            <w:proofErr w:type="spellEnd"/>
            <w:r w:rsidRPr="002D6D78">
              <w:rPr>
                <w:rFonts w:asciiTheme="minorHAnsi" w:hAnsiTheme="minorHAnsi" w:cs="Arial"/>
                <w:sz w:val="21"/>
                <w:szCs w:val="21"/>
              </w:rPr>
              <w:t xml:space="preserve"> </w:t>
            </w:r>
            <w:proofErr w:type="spellStart"/>
            <w:r w:rsidRPr="002D6D78">
              <w:rPr>
                <w:rFonts w:asciiTheme="minorHAnsi" w:hAnsiTheme="minorHAnsi" w:cs="Arial"/>
                <w:sz w:val="21"/>
                <w:szCs w:val="21"/>
              </w:rPr>
              <w:t>primljeni</w:t>
            </w:r>
            <w:proofErr w:type="spellEnd"/>
            <w:r w:rsidRPr="002D6D78">
              <w:rPr>
                <w:rFonts w:asciiTheme="minorHAnsi" w:hAnsiTheme="minorHAnsi" w:cs="Arial"/>
                <w:sz w:val="21"/>
                <w:szCs w:val="21"/>
              </w:rPr>
              <w:t xml:space="preserve"> </w:t>
            </w:r>
            <w:proofErr w:type="spellStart"/>
            <w:r w:rsidRPr="002D6D78">
              <w:rPr>
                <w:rFonts w:asciiTheme="minorHAnsi" w:hAnsiTheme="minorHAnsi" w:cs="Arial"/>
                <w:sz w:val="21"/>
                <w:szCs w:val="21"/>
              </w:rPr>
              <w:t>zbog</w:t>
            </w:r>
            <w:proofErr w:type="spellEnd"/>
            <w:r w:rsidRPr="002D6D78">
              <w:rPr>
                <w:rFonts w:asciiTheme="minorHAnsi" w:hAnsiTheme="minorHAnsi" w:cs="Arial"/>
                <w:sz w:val="21"/>
                <w:szCs w:val="21"/>
              </w:rPr>
              <w:t xml:space="preserve"> </w:t>
            </w:r>
            <w:proofErr w:type="spellStart"/>
            <w:r w:rsidRPr="002D6D78">
              <w:rPr>
                <w:rFonts w:asciiTheme="minorHAnsi" w:hAnsiTheme="minorHAnsi" w:cs="Arial"/>
                <w:sz w:val="21"/>
                <w:szCs w:val="21"/>
              </w:rPr>
              <w:t>popunjenosti</w:t>
            </w:r>
            <w:proofErr w:type="spellEnd"/>
            <w:r w:rsidRPr="002D6D78">
              <w:rPr>
                <w:rFonts w:asciiTheme="minorHAnsi" w:hAnsiTheme="minorHAnsi" w:cs="Arial"/>
                <w:sz w:val="21"/>
                <w:szCs w:val="21"/>
              </w:rPr>
              <w:t xml:space="preserve"> </w:t>
            </w:r>
            <w:proofErr w:type="spellStart"/>
            <w:r w:rsidRPr="002D6D78">
              <w:rPr>
                <w:rFonts w:asciiTheme="minorHAnsi" w:hAnsiTheme="minorHAnsi" w:cs="Arial"/>
                <w:sz w:val="21"/>
                <w:szCs w:val="21"/>
              </w:rPr>
              <w:t>kapaciteta</w:t>
            </w:r>
            <w:proofErr w:type="spellEnd"/>
            <w:r w:rsidRPr="002D6D78">
              <w:rPr>
                <w:rFonts w:asciiTheme="minorHAnsi" w:hAnsiTheme="minorHAnsi" w:cs="Arial"/>
                <w:sz w:val="21"/>
                <w:szCs w:val="21"/>
              </w:rPr>
              <w:t xml:space="preserve"> </w:t>
            </w:r>
          </w:p>
        </w:tc>
        <w:tc>
          <w:tcPr>
            <w:tcW w:w="1740" w:type="dxa"/>
            <w:tcBorders>
              <w:top w:val="nil"/>
              <w:left w:val="nil"/>
              <w:bottom w:val="single" w:sz="12" w:space="0" w:color="78A0D0"/>
              <w:right w:val="nil"/>
            </w:tcBorders>
            <w:shd w:val="clear" w:color="auto" w:fill="auto"/>
            <w:noWrap/>
            <w:vAlign w:val="center"/>
            <w:hideMark/>
          </w:tcPr>
          <w:p w14:paraId="0F8FEAA2" w14:textId="07813125" w:rsidR="00DB5D24" w:rsidRPr="003E2766" w:rsidRDefault="003E2766" w:rsidP="005B59B4">
            <w:pPr>
              <w:jc w:val="center"/>
              <w:rPr>
                <w:rFonts w:asciiTheme="minorHAnsi" w:hAnsiTheme="minorHAnsi" w:cs="Arial"/>
                <w:sz w:val="21"/>
                <w:szCs w:val="21"/>
                <w:lang w:val="sr-Latn-RS"/>
              </w:rPr>
            </w:pPr>
            <w:r>
              <w:rPr>
                <w:rFonts w:asciiTheme="minorHAnsi" w:hAnsiTheme="minorHAnsi" w:cs="Arial"/>
                <w:sz w:val="21"/>
                <w:szCs w:val="21"/>
                <w:lang w:val="sr-Latn-RS"/>
              </w:rPr>
              <w:t>0</w:t>
            </w:r>
          </w:p>
        </w:tc>
        <w:tc>
          <w:tcPr>
            <w:tcW w:w="1780" w:type="dxa"/>
            <w:tcBorders>
              <w:top w:val="nil"/>
              <w:left w:val="nil"/>
              <w:bottom w:val="single" w:sz="12" w:space="0" w:color="78A0D0"/>
              <w:right w:val="nil"/>
            </w:tcBorders>
            <w:shd w:val="clear" w:color="auto" w:fill="auto"/>
            <w:noWrap/>
            <w:vAlign w:val="center"/>
            <w:hideMark/>
          </w:tcPr>
          <w:p w14:paraId="1F2906D2" w14:textId="008D6AEC" w:rsidR="00DB5D24" w:rsidRPr="003E2766" w:rsidRDefault="003E2766" w:rsidP="005B59B4">
            <w:pPr>
              <w:jc w:val="center"/>
              <w:rPr>
                <w:rFonts w:asciiTheme="minorHAnsi" w:hAnsiTheme="minorHAnsi" w:cs="Arial"/>
                <w:sz w:val="21"/>
                <w:szCs w:val="21"/>
                <w:lang w:val="sr-Latn-RS"/>
              </w:rPr>
            </w:pPr>
            <w:r>
              <w:rPr>
                <w:rFonts w:asciiTheme="minorHAnsi" w:hAnsiTheme="minorHAnsi" w:cs="Arial"/>
                <w:sz w:val="21"/>
                <w:szCs w:val="21"/>
                <w:lang w:val="sr-Latn-RS"/>
              </w:rPr>
              <w:t>0</w:t>
            </w:r>
          </w:p>
        </w:tc>
        <w:tc>
          <w:tcPr>
            <w:tcW w:w="1780" w:type="dxa"/>
            <w:tcBorders>
              <w:top w:val="nil"/>
              <w:left w:val="nil"/>
              <w:bottom w:val="single" w:sz="12" w:space="0" w:color="78A0D0"/>
              <w:right w:val="nil"/>
            </w:tcBorders>
            <w:shd w:val="clear" w:color="auto" w:fill="auto"/>
            <w:noWrap/>
            <w:vAlign w:val="center"/>
            <w:hideMark/>
          </w:tcPr>
          <w:p w14:paraId="03F76216" w14:textId="77777777" w:rsidR="00DB5D24" w:rsidRPr="002D6D78" w:rsidRDefault="00DB5D24" w:rsidP="005B59B4">
            <w:pPr>
              <w:jc w:val="center"/>
              <w:rPr>
                <w:rFonts w:asciiTheme="minorHAnsi" w:hAnsiTheme="minorHAnsi" w:cs="Arial"/>
                <w:sz w:val="21"/>
                <w:szCs w:val="21"/>
              </w:rPr>
            </w:pPr>
            <w:r w:rsidRPr="002D6D78">
              <w:rPr>
                <w:rFonts w:asciiTheme="minorHAnsi" w:hAnsiTheme="minorHAnsi" w:cs="Arial"/>
                <w:sz w:val="21"/>
                <w:szCs w:val="21"/>
              </w:rPr>
              <w:t>0</w:t>
            </w:r>
          </w:p>
        </w:tc>
      </w:tr>
    </w:tbl>
    <w:p w14:paraId="2E13A5A1" w14:textId="77777777" w:rsidR="00DB5D24" w:rsidRPr="002D6D78" w:rsidRDefault="00DB5D24" w:rsidP="00604ACF">
      <w:pPr>
        <w:spacing w:before="60" w:after="240"/>
        <w:rPr>
          <w:rFonts w:asciiTheme="minorHAnsi" w:hAnsiTheme="minorHAnsi"/>
          <w:sz w:val="18"/>
          <w:szCs w:val="18"/>
        </w:rPr>
      </w:pPr>
      <w:proofErr w:type="spellStart"/>
      <w:r w:rsidRPr="002D6D78">
        <w:rPr>
          <w:rFonts w:asciiTheme="minorHAnsi" w:hAnsiTheme="minorHAnsi"/>
          <w:sz w:val="18"/>
          <w:szCs w:val="18"/>
        </w:rPr>
        <w:t>Izvor</w:t>
      </w:r>
      <w:proofErr w:type="spellEnd"/>
      <w:r w:rsidRPr="002D6D78">
        <w:rPr>
          <w:rFonts w:asciiTheme="minorHAnsi" w:hAnsiTheme="minorHAnsi"/>
          <w:sz w:val="18"/>
          <w:szCs w:val="18"/>
        </w:rPr>
        <w:t xml:space="preserve">: </w:t>
      </w:r>
      <w:proofErr w:type="spellStart"/>
      <w:r w:rsidRPr="002D6D78">
        <w:rPr>
          <w:rFonts w:asciiTheme="minorHAnsi" w:hAnsiTheme="minorHAnsi"/>
          <w:sz w:val="18"/>
          <w:szCs w:val="18"/>
        </w:rPr>
        <w:t>Devinfo</w:t>
      </w:r>
      <w:proofErr w:type="spellEnd"/>
      <w:r w:rsidRPr="002D6D78">
        <w:rPr>
          <w:rFonts w:asciiTheme="minorHAnsi" w:hAnsiTheme="minorHAnsi"/>
          <w:sz w:val="18"/>
          <w:szCs w:val="18"/>
        </w:rPr>
        <w:t xml:space="preserve"> – </w:t>
      </w:r>
      <w:proofErr w:type="spellStart"/>
      <w:r w:rsidRPr="002D6D78">
        <w:rPr>
          <w:rFonts w:asciiTheme="minorHAnsi" w:hAnsiTheme="minorHAnsi"/>
          <w:sz w:val="18"/>
          <w:szCs w:val="18"/>
        </w:rPr>
        <w:t>profili</w:t>
      </w:r>
      <w:proofErr w:type="spellEnd"/>
      <w:r w:rsidRPr="002D6D78">
        <w:rPr>
          <w:rFonts w:asciiTheme="minorHAnsi" w:hAnsiTheme="minorHAnsi"/>
          <w:sz w:val="18"/>
          <w:szCs w:val="18"/>
        </w:rPr>
        <w:t xml:space="preserve"> </w:t>
      </w:r>
      <w:proofErr w:type="spellStart"/>
      <w:r w:rsidRPr="002D6D78">
        <w:rPr>
          <w:rFonts w:asciiTheme="minorHAnsi" w:hAnsiTheme="minorHAnsi"/>
          <w:sz w:val="18"/>
          <w:szCs w:val="18"/>
        </w:rPr>
        <w:t>opština</w:t>
      </w:r>
      <w:proofErr w:type="spellEnd"/>
      <w:r w:rsidRPr="002D6D78">
        <w:rPr>
          <w:rFonts w:asciiTheme="minorHAnsi" w:hAnsiTheme="minorHAnsi"/>
          <w:sz w:val="18"/>
          <w:szCs w:val="18"/>
        </w:rPr>
        <w:t xml:space="preserve"> (</w:t>
      </w:r>
      <w:proofErr w:type="spellStart"/>
      <w:r w:rsidRPr="002D6D78">
        <w:rPr>
          <w:rFonts w:asciiTheme="minorHAnsi" w:hAnsiTheme="minorHAnsi"/>
          <w:sz w:val="18"/>
          <w:szCs w:val="18"/>
        </w:rPr>
        <w:t>primarni</w:t>
      </w:r>
      <w:proofErr w:type="spellEnd"/>
      <w:r w:rsidRPr="002D6D78">
        <w:rPr>
          <w:rFonts w:asciiTheme="minorHAnsi" w:hAnsiTheme="minorHAnsi"/>
          <w:sz w:val="18"/>
          <w:szCs w:val="18"/>
        </w:rPr>
        <w:t xml:space="preserve"> </w:t>
      </w:r>
      <w:proofErr w:type="spellStart"/>
      <w:r w:rsidRPr="002D6D78">
        <w:rPr>
          <w:rFonts w:asciiTheme="minorHAnsi" w:hAnsiTheme="minorHAnsi"/>
          <w:sz w:val="18"/>
          <w:szCs w:val="18"/>
        </w:rPr>
        <w:t>izvor</w:t>
      </w:r>
      <w:proofErr w:type="spellEnd"/>
      <w:r w:rsidRPr="002D6D78">
        <w:rPr>
          <w:rFonts w:asciiTheme="minorHAnsi" w:hAnsiTheme="minorHAnsi"/>
          <w:sz w:val="18"/>
          <w:szCs w:val="18"/>
        </w:rPr>
        <w:t xml:space="preserve"> </w:t>
      </w:r>
      <w:proofErr w:type="spellStart"/>
      <w:r w:rsidRPr="002D6D78">
        <w:rPr>
          <w:rFonts w:asciiTheme="minorHAnsi" w:hAnsiTheme="minorHAnsi"/>
          <w:sz w:val="18"/>
          <w:szCs w:val="18"/>
        </w:rPr>
        <w:t>Statistika</w:t>
      </w:r>
      <w:proofErr w:type="spellEnd"/>
      <w:r w:rsidRPr="002D6D78">
        <w:rPr>
          <w:rFonts w:asciiTheme="minorHAnsi" w:hAnsiTheme="minorHAnsi"/>
          <w:sz w:val="18"/>
          <w:szCs w:val="18"/>
        </w:rPr>
        <w:t xml:space="preserve"> </w:t>
      </w:r>
      <w:proofErr w:type="spellStart"/>
      <w:r w:rsidRPr="002D6D78">
        <w:rPr>
          <w:rFonts w:asciiTheme="minorHAnsi" w:hAnsiTheme="minorHAnsi"/>
          <w:sz w:val="18"/>
          <w:szCs w:val="18"/>
        </w:rPr>
        <w:t>obrazovanja</w:t>
      </w:r>
      <w:proofErr w:type="spellEnd"/>
      <w:r w:rsidRPr="002D6D78">
        <w:rPr>
          <w:rFonts w:asciiTheme="minorHAnsi" w:hAnsiTheme="minorHAnsi"/>
          <w:sz w:val="18"/>
          <w:szCs w:val="18"/>
        </w:rPr>
        <w:t xml:space="preserve"> RZS)</w:t>
      </w:r>
    </w:p>
    <w:p w14:paraId="42C5E2EF" w14:textId="77777777" w:rsidR="00DB5D24" w:rsidRPr="002D6D78" w:rsidRDefault="00DB5D24" w:rsidP="00DB5D24">
      <w:pPr>
        <w:rPr>
          <w:rFonts w:asciiTheme="minorHAnsi" w:hAnsiTheme="minorHAnsi"/>
          <w:sz w:val="22"/>
          <w:szCs w:val="22"/>
        </w:rPr>
      </w:pPr>
    </w:p>
    <w:p w14:paraId="24060D96" w14:textId="6F47C46D" w:rsidR="003130B7" w:rsidRDefault="00EE7793" w:rsidP="00DB5D24">
      <w:pPr>
        <w:jc w:val="both"/>
        <w:rPr>
          <w:rFonts w:asciiTheme="minorHAnsi" w:hAnsiTheme="minorHAnsi"/>
          <w:sz w:val="22"/>
          <w:szCs w:val="22"/>
        </w:rPr>
      </w:pPr>
      <w:r w:rsidRPr="002D6D78">
        <w:rPr>
          <w:rFonts w:asciiTheme="minorHAnsi" w:hAnsiTheme="minorHAnsi"/>
          <w:b/>
          <w:i/>
          <w:sz w:val="22"/>
          <w:szCs w:val="22"/>
        </w:rPr>
        <w:t xml:space="preserve">U </w:t>
      </w:r>
      <w:proofErr w:type="spellStart"/>
      <w:r w:rsidRPr="002D6D78">
        <w:rPr>
          <w:rFonts w:asciiTheme="minorHAnsi" w:hAnsiTheme="minorHAnsi"/>
          <w:b/>
          <w:i/>
          <w:sz w:val="22"/>
          <w:szCs w:val="22"/>
        </w:rPr>
        <w:t>ponudi</w:t>
      </w:r>
      <w:proofErr w:type="spellEnd"/>
      <w:r w:rsidRPr="002D6D78">
        <w:rPr>
          <w:rFonts w:asciiTheme="minorHAnsi" w:hAnsiTheme="minorHAnsi"/>
          <w:b/>
          <w:i/>
          <w:sz w:val="22"/>
          <w:szCs w:val="22"/>
        </w:rPr>
        <w:t xml:space="preserve"> PV</w:t>
      </w:r>
      <w:r>
        <w:rPr>
          <w:rFonts w:asciiTheme="minorHAnsi" w:hAnsiTheme="minorHAnsi"/>
          <w:b/>
          <w:i/>
          <w:sz w:val="22"/>
          <w:szCs w:val="22"/>
        </w:rPr>
        <w:t>O</w:t>
      </w:r>
      <w:r w:rsidRPr="002D6D78">
        <w:rPr>
          <w:rFonts w:asciiTheme="minorHAnsi" w:hAnsiTheme="minorHAnsi"/>
          <w:b/>
          <w:i/>
          <w:sz w:val="22"/>
          <w:szCs w:val="22"/>
        </w:rPr>
        <w:t xml:space="preserve"> </w:t>
      </w:r>
      <w:proofErr w:type="spellStart"/>
      <w:r w:rsidRPr="002D6D78">
        <w:rPr>
          <w:rFonts w:asciiTheme="minorHAnsi" w:hAnsiTheme="minorHAnsi"/>
          <w:b/>
          <w:i/>
          <w:sz w:val="22"/>
          <w:szCs w:val="22"/>
        </w:rPr>
        <w:t>dominira</w:t>
      </w:r>
      <w:proofErr w:type="spellEnd"/>
      <w:r w:rsidRPr="002D6D78">
        <w:rPr>
          <w:rFonts w:asciiTheme="minorHAnsi" w:hAnsiTheme="minorHAnsi"/>
          <w:b/>
          <w:i/>
          <w:sz w:val="22"/>
          <w:szCs w:val="22"/>
        </w:rPr>
        <w:t xml:space="preserve"> </w:t>
      </w:r>
      <w:proofErr w:type="spellStart"/>
      <w:r w:rsidRPr="002D6D78">
        <w:rPr>
          <w:rFonts w:asciiTheme="minorHAnsi" w:hAnsiTheme="minorHAnsi"/>
          <w:b/>
          <w:i/>
          <w:sz w:val="22"/>
          <w:szCs w:val="22"/>
        </w:rPr>
        <w:t>klasičan</w:t>
      </w:r>
      <w:proofErr w:type="spellEnd"/>
      <w:r w:rsidRPr="002D6D78">
        <w:rPr>
          <w:rFonts w:asciiTheme="minorHAnsi" w:hAnsiTheme="minorHAnsi"/>
          <w:b/>
          <w:i/>
          <w:sz w:val="22"/>
          <w:szCs w:val="22"/>
        </w:rPr>
        <w:t xml:space="preserve"> </w:t>
      </w:r>
      <w:proofErr w:type="spellStart"/>
      <w:r w:rsidRPr="002D6D78">
        <w:rPr>
          <w:rFonts w:asciiTheme="minorHAnsi" w:hAnsiTheme="minorHAnsi"/>
          <w:b/>
          <w:i/>
          <w:sz w:val="22"/>
          <w:szCs w:val="22"/>
        </w:rPr>
        <w:t>celodnevni</w:t>
      </w:r>
      <w:proofErr w:type="spellEnd"/>
      <w:r w:rsidRPr="002D6D78">
        <w:rPr>
          <w:rFonts w:asciiTheme="minorHAnsi" w:hAnsiTheme="minorHAnsi"/>
          <w:b/>
          <w:i/>
          <w:sz w:val="22"/>
          <w:szCs w:val="22"/>
        </w:rPr>
        <w:t xml:space="preserve"> </w:t>
      </w:r>
      <w:proofErr w:type="spellStart"/>
      <w:r w:rsidRPr="002D6D78">
        <w:rPr>
          <w:rFonts w:asciiTheme="minorHAnsi" w:hAnsiTheme="minorHAnsi"/>
          <w:b/>
          <w:i/>
          <w:sz w:val="22"/>
          <w:szCs w:val="22"/>
        </w:rPr>
        <w:t>program</w:t>
      </w:r>
      <w:r w:rsidR="00A21756">
        <w:rPr>
          <w:rFonts w:asciiTheme="minorHAnsi" w:hAnsiTheme="minorHAnsi"/>
          <w:b/>
          <w:i/>
          <w:sz w:val="22"/>
          <w:szCs w:val="22"/>
        </w:rPr>
        <w:t>a</w:t>
      </w:r>
      <w:proofErr w:type="spellEnd"/>
      <w:r w:rsidR="00A21756">
        <w:rPr>
          <w:rFonts w:asciiTheme="minorHAnsi" w:hAnsiTheme="minorHAnsi"/>
          <w:b/>
          <w:i/>
          <w:sz w:val="22"/>
          <w:szCs w:val="22"/>
        </w:rPr>
        <w:t xml:space="preserve"> </w:t>
      </w:r>
      <w:proofErr w:type="spellStart"/>
      <w:r w:rsidR="00A21756">
        <w:rPr>
          <w:rFonts w:asciiTheme="minorHAnsi" w:hAnsiTheme="minorHAnsi"/>
          <w:b/>
          <w:i/>
          <w:sz w:val="22"/>
          <w:szCs w:val="22"/>
        </w:rPr>
        <w:t>ali</w:t>
      </w:r>
      <w:proofErr w:type="spellEnd"/>
      <w:r w:rsidR="00A21756">
        <w:rPr>
          <w:rFonts w:asciiTheme="minorHAnsi" w:hAnsiTheme="minorHAnsi"/>
          <w:b/>
          <w:i/>
          <w:sz w:val="22"/>
          <w:szCs w:val="22"/>
        </w:rPr>
        <w:t xml:space="preserve"> </w:t>
      </w:r>
      <w:proofErr w:type="spellStart"/>
      <w:r w:rsidR="00A21756">
        <w:rPr>
          <w:rFonts w:asciiTheme="minorHAnsi" w:hAnsiTheme="minorHAnsi"/>
          <w:b/>
          <w:i/>
          <w:sz w:val="22"/>
          <w:szCs w:val="22"/>
        </w:rPr>
        <w:t>postoji</w:t>
      </w:r>
      <w:proofErr w:type="spellEnd"/>
      <w:r w:rsidRPr="002D6D78">
        <w:rPr>
          <w:rFonts w:asciiTheme="minorHAnsi" w:hAnsiTheme="minorHAnsi"/>
          <w:b/>
          <w:i/>
          <w:sz w:val="22"/>
          <w:szCs w:val="22"/>
        </w:rPr>
        <w:t xml:space="preserve"> </w:t>
      </w:r>
      <w:proofErr w:type="spellStart"/>
      <w:r w:rsidRPr="002D6D78">
        <w:rPr>
          <w:rFonts w:asciiTheme="minorHAnsi" w:hAnsiTheme="minorHAnsi"/>
          <w:b/>
          <w:i/>
          <w:sz w:val="22"/>
          <w:szCs w:val="22"/>
        </w:rPr>
        <w:t>ponuda</w:t>
      </w:r>
      <w:proofErr w:type="spellEnd"/>
      <w:r w:rsidRPr="002D6D78">
        <w:rPr>
          <w:rFonts w:asciiTheme="minorHAnsi" w:hAnsiTheme="minorHAnsi"/>
          <w:b/>
          <w:i/>
          <w:sz w:val="22"/>
          <w:szCs w:val="22"/>
        </w:rPr>
        <w:t xml:space="preserve"> </w:t>
      </w:r>
      <w:proofErr w:type="spellStart"/>
      <w:r w:rsidR="00A21756">
        <w:rPr>
          <w:rFonts w:asciiTheme="minorHAnsi" w:hAnsiTheme="minorHAnsi"/>
          <w:b/>
          <w:i/>
          <w:sz w:val="22"/>
          <w:szCs w:val="22"/>
        </w:rPr>
        <w:t>kr</w:t>
      </w:r>
      <w:r w:rsidR="00604ACF">
        <w:rPr>
          <w:rFonts w:asciiTheme="minorHAnsi" w:hAnsiTheme="minorHAnsi"/>
          <w:b/>
          <w:i/>
          <w:sz w:val="22"/>
          <w:szCs w:val="22"/>
        </w:rPr>
        <w:t>a</w:t>
      </w:r>
      <w:r w:rsidR="00A21756">
        <w:rPr>
          <w:rFonts w:asciiTheme="minorHAnsi" w:hAnsiTheme="minorHAnsi"/>
          <w:b/>
          <w:i/>
          <w:sz w:val="22"/>
          <w:szCs w:val="22"/>
        </w:rPr>
        <w:t>ć</w:t>
      </w:r>
      <w:r w:rsidR="00604ACF">
        <w:rPr>
          <w:rFonts w:asciiTheme="minorHAnsi" w:hAnsiTheme="minorHAnsi"/>
          <w:b/>
          <w:i/>
          <w:sz w:val="22"/>
          <w:szCs w:val="22"/>
        </w:rPr>
        <w:t>e</w:t>
      </w:r>
      <w:r w:rsidR="00A21756">
        <w:rPr>
          <w:rFonts w:asciiTheme="minorHAnsi" w:hAnsiTheme="minorHAnsi"/>
          <w:b/>
          <w:i/>
          <w:sz w:val="22"/>
          <w:szCs w:val="22"/>
        </w:rPr>
        <w:t>g</w:t>
      </w:r>
      <w:proofErr w:type="spellEnd"/>
      <w:r w:rsidR="00A21756">
        <w:rPr>
          <w:rFonts w:asciiTheme="minorHAnsi" w:hAnsiTheme="minorHAnsi"/>
          <w:b/>
          <w:i/>
          <w:sz w:val="22"/>
          <w:szCs w:val="22"/>
        </w:rPr>
        <w:t xml:space="preserve"> </w:t>
      </w:r>
      <w:proofErr w:type="spellStart"/>
      <w:r w:rsidRPr="002D6D78">
        <w:rPr>
          <w:rFonts w:asciiTheme="minorHAnsi" w:hAnsiTheme="minorHAnsi"/>
          <w:b/>
          <w:i/>
          <w:sz w:val="22"/>
          <w:szCs w:val="22"/>
        </w:rPr>
        <w:t>programa</w:t>
      </w:r>
      <w:proofErr w:type="spellEnd"/>
      <w:r w:rsidRPr="002D6D78">
        <w:rPr>
          <w:rFonts w:asciiTheme="minorHAnsi" w:hAnsiTheme="minorHAnsi"/>
          <w:sz w:val="22"/>
          <w:szCs w:val="22"/>
        </w:rPr>
        <w:t xml:space="preserve"> </w:t>
      </w:r>
      <w:r w:rsidR="00A21756">
        <w:rPr>
          <w:rFonts w:asciiTheme="minorHAnsi" w:hAnsiTheme="minorHAnsi"/>
          <w:sz w:val="22"/>
          <w:szCs w:val="22"/>
        </w:rPr>
        <w:t xml:space="preserve"> ne </w:t>
      </w:r>
      <w:proofErr w:type="spellStart"/>
      <w:r w:rsidR="00A21756">
        <w:rPr>
          <w:rFonts w:asciiTheme="minorHAnsi" w:hAnsiTheme="minorHAnsi"/>
          <w:sz w:val="22"/>
          <w:szCs w:val="22"/>
        </w:rPr>
        <w:t>samo</w:t>
      </w:r>
      <w:proofErr w:type="spellEnd"/>
      <w:r w:rsidR="00A21756">
        <w:rPr>
          <w:rFonts w:asciiTheme="minorHAnsi" w:hAnsiTheme="minorHAnsi"/>
          <w:sz w:val="22"/>
          <w:szCs w:val="22"/>
        </w:rPr>
        <w:t xml:space="preserve"> </w:t>
      </w:r>
      <w:r w:rsidRPr="002D6D78">
        <w:rPr>
          <w:rFonts w:asciiTheme="minorHAnsi" w:hAnsiTheme="minorHAnsi"/>
          <w:sz w:val="22"/>
          <w:szCs w:val="22"/>
        </w:rPr>
        <w:t xml:space="preserve">u </w:t>
      </w:r>
      <w:proofErr w:type="spellStart"/>
      <w:r w:rsidRPr="002D6D78">
        <w:rPr>
          <w:rFonts w:asciiTheme="minorHAnsi" w:hAnsiTheme="minorHAnsi"/>
          <w:sz w:val="22"/>
          <w:szCs w:val="22"/>
        </w:rPr>
        <w:t>slučaju</w:t>
      </w:r>
      <w:proofErr w:type="spellEnd"/>
      <w:r w:rsidRPr="002D6D78">
        <w:rPr>
          <w:rFonts w:asciiTheme="minorHAnsi" w:hAnsiTheme="minorHAnsi"/>
          <w:sz w:val="22"/>
          <w:szCs w:val="22"/>
        </w:rPr>
        <w:t xml:space="preserve"> </w:t>
      </w:r>
      <w:proofErr w:type="spellStart"/>
      <w:r w:rsidR="00A21756">
        <w:rPr>
          <w:rFonts w:asciiTheme="minorHAnsi" w:hAnsiTheme="minorHAnsi"/>
          <w:sz w:val="22"/>
          <w:szCs w:val="22"/>
        </w:rPr>
        <w:t>obaveznog</w:t>
      </w:r>
      <w:proofErr w:type="spellEnd"/>
      <w:r w:rsidR="00A21756">
        <w:rPr>
          <w:rFonts w:asciiTheme="minorHAnsi" w:hAnsiTheme="minorHAnsi"/>
          <w:sz w:val="22"/>
          <w:szCs w:val="22"/>
        </w:rPr>
        <w:t xml:space="preserve"> </w:t>
      </w:r>
      <w:proofErr w:type="spellStart"/>
      <w:r w:rsidRPr="002D6D78">
        <w:rPr>
          <w:rFonts w:asciiTheme="minorHAnsi" w:hAnsiTheme="minorHAnsi"/>
          <w:sz w:val="22"/>
          <w:szCs w:val="22"/>
        </w:rPr>
        <w:t>poludnevnog</w:t>
      </w:r>
      <w:proofErr w:type="spellEnd"/>
      <w:r w:rsidRPr="002D6D78">
        <w:rPr>
          <w:rFonts w:asciiTheme="minorHAnsi" w:hAnsiTheme="minorHAnsi"/>
          <w:sz w:val="22"/>
          <w:szCs w:val="22"/>
        </w:rPr>
        <w:t xml:space="preserve"> PPP </w:t>
      </w:r>
      <w:proofErr w:type="spellStart"/>
      <w:r w:rsidRPr="002D6D78">
        <w:rPr>
          <w:rFonts w:asciiTheme="minorHAnsi" w:hAnsiTheme="minorHAnsi"/>
          <w:sz w:val="22"/>
          <w:szCs w:val="22"/>
        </w:rPr>
        <w:t>programa</w:t>
      </w:r>
      <w:proofErr w:type="spellEnd"/>
      <w:r w:rsidR="00A21756">
        <w:rPr>
          <w:rFonts w:asciiTheme="minorHAnsi" w:hAnsiTheme="minorHAnsi"/>
          <w:sz w:val="22"/>
          <w:szCs w:val="22"/>
        </w:rPr>
        <w:t xml:space="preserve"> </w:t>
      </w:r>
      <w:proofErr w:type="spellStart"/>
      <w:r w:rsidR="00A21756">
        <w:rPr>
          <w:rFonts w:asciiTheme="minorHAnsi" w:hAnsiTheme="minorHAnsi"/>
          <w:sz w:val="22"/>
          <w:szCs w:val="22"/>
        </w:rPr>
        <w:t>već</w:t>
      </w:r>
      <w:proofErr w:type="spellEnd"/>
      <w:r w:rsidR="00A21756">
        <w:rPr>
          <w:rFonts w:asciiTheme="minorHAnsi" w:hAnsiTheme="minorHAnsi"/>
          <w:sz w:val="22"/>
          <w:szCs w:val="22"/>
        </w:rPr>
        <w:t xml:space="preserve"> </w:t>
      </w:r>
      <w:proofErr w:type="spellStart"/>
      <w:r w:rsidR="00A21756">
        <w:rPr>
          <w:rFonts w:asciiTheme="minorHAnsi" w:hAnsiTheme="minorHAnsi"/>
          <w:sz w:val="22"/>
          <w:szCs w:val="22"/>
        </w:rPr>
        <w:t>i</w:t>
      </w:r>
      <w:proofErr w:type="spellEnd"/>
      <w:r w:rsidR="00A21756">
        <w:rPr>
          <w:rFonts w:asciiTheme="minorHAnsi" w:hAnsiTheme="minorHAnsi"/>
          <w:sz w:val="22"/>
          <w:szCs w:val="22"/>
        </w:rPr>
        <w:t xml:space="preserve"> za </w:t>
      </w:r>
      <w:proofErr w:type="spellStart"/>
      <w:r w:rsidR="00A21756">
        <w:rPr>
          <w:rFonts w:asciiTheme="minorHAnsi" w:hAnsiTheme="minorHAnsi"/>
          <w:sz w:val="22"/>
          <w:szCs w:val="22"/>
        </w:rPr>
        <w:t>ostalu</w:t>
      </w:r>
      <w:proofErr w:type="spellEnd"/>
      <w:r w:rsidR="00A21756">
        <w:rPr>
          <w:rFonts w:asciiTheme="minorHAnsi" w:hAnsiTheme="minorHAnsi"/>
          <w:sz w:val="22"/>
          <w:szCs w:val="22"/>
        </w:rPr>
        <w:t xml:space="preserve"> </w:t>
      </w:r>
      <w:proofErr w:type="spellStart"/>
      <w:r w:rsidR="00A21756">
        <w:rPr>
          <w:rFonts w:asciiTheme="minorHAnsi" w:hAnsiTheme="minorHAnsi"/>
          <w:sz w:val="22"/>
          <w:szCs w:val="22"/>
        </w:rPr>
        <w:t>decu</w:t>
      </w:r>
      <w:proofErr w:type="spellEnd"/>
      <w:r>
        <w:rPr>
          <w:rFonts w:asciiTheme="minorHAnsi" w:hAnsiTheme="minorHAnsi"/>
          <w:sz w:val="22"/>
          <w:szCs w:val="22"/>
        </w:rPr>
        <w:t xml:space="preserve"> (</w:t>
      </w:r>
      <w:proofErr w:type="spellStart"/>
      <w:r>
        <w:rPr>
          <w:rFonts w:asciiTheme="minorHAnsi" w:hAnsiTheme="minorHAnsi"/>
          <w:sz w:val="22"/>
          <w:szCs w:val="22"/>
        </w:rPr>
        <w:t>Tabela</w:t>
      </w:r>
      <w:proofErr w:type="spellEnd"/>
      <w:r>
        <w:rPr>
          <w:rFonts w:asciiTheme="minorHAnsi" w:hAnsiTheme="minorHAnsi"/>
          <w:sz w:val="22"/>
          <w:szCs w:val="22"/>
        </w:rPr>
        <w:t xml:space="preserve"> 3.)</w:t>
      </w:r>
      <w:r w:rsidRPr="002D6D78">
        <w:rPr>
          <w:rFonts w:asciiTheme="minorHAnsi" w:hAnsiTheme="minorHAnsi"/>
          <w:sz w:val="22"/>
          <w:szCs w:val="22"/>
        </w:rPr>
        <w:t xml:space="preserve">. </w:t>
      </w:r>
      <w:proofErr w:type="spellStart"/>
      <w:r w:rsidR="00A21756">
        <w:rPr>
          <w:rFonts w:asciiTheme="minorHAnsi" w:hAnsiTheme="minorHAnsi"/>
          <w:sz w:val="22"/>
          <w:szCs w:val="22"/>
        </w:rPr>
        <w:t>Iako</w:t>
      </w:r>
      <w:proofErr w:type="spellEnd"/>
      <w:r w:rsidR="00A21756">
        <w:rPr>
          <w:rFonts w:asciiTheme="minorHAnsi" w:hAnsiTheme="minorHAnsi"/>
          <w:sz w:val="22"/>
          <w:szCs w:val="22"/>
        </w:rPr>
        <w:t xml:space="preserve"> se </w:t>
      </w:r>
      <w:proofErr w:type="spellStart"/>
      <w:r w:rsidR="00A21756">
        <w:rPr>
          <w:rFonts w:asciiTheme="minorHAnsi" w:hAnsiTheme="minorHAnsi"/>
          <w:sz w:val="22"/>
          <w:szCs w:val="22"/>
        </w:rPr>
        <w:t>učešće</w:t>
      </w:r>
      <w:proofErr w:type="spellEnd"/>
      <w:r w:rsidR="00A21756">
        <w:rPr>
          <w:rFonts w:asciiTheme="minorHAnsi" w:hAnsiTheme="minorHAnsi"/>
          <w:sz w:val="22"/>
          <w:szCs w:val="22"/>
        </w:rPr>
        <w:t xml:space="preserve"> </w:t>
      </w:r>
      <w:proofErr w:type="spellStart"/>
      <w:r w:rsidR="00A21756">
        <w:rPr>
          <w:rFonts w:asciiTheme="minorHAnsi" w:hAnsiTheme="minorHAnsi"/>
          <w:sz w:val="22"/>
          <w:szCs w:val="22"/>
        </w:rPr>
        <w:t>dece</w:t>
      </w:r>
      <w:proofErr w:type="spellEnd"/>
      <w:r w:rsidR="00A21756">
        <w:rPr>
          <w:rFonts w:asciiTheme="minorHAnsi" w:hAnsiTheme="minorHAnsi"/>
          <w:sz w:val="22"/>
          <w:szCs w:val="22"/>
        </w:rPr>
        <w:t xml:space="preserve"> u </w:t>
      </w:r>
      <w:proofErr w:type="spellStart"/>
      <w:r w:rsidR="00A21756">
        <w:rPr>
          <w:rFonts w:asciiTheme="minorHAnsi" w:hAnsiTheme="minorHAnsi"/>
          <w:sz w:val="22"/>
          <w:szCs w:val="22"/>
        </w:rPr>
        <w:t>ovom</w:t>
      </w:r>
      <w:proofErr w:type="spellEnd"/>
      <w:r w:rsidR="00A21756">
        <w:rPr>
          <w:rFonts w:asciiTheme="minorHAnsi" w:hAnsiTheme="minorHAnsi"/>
          <w:sz w:val="22"/>
          <w:szCs w:val="22"/>
        </w:rPr>
        <w:t xml:space="preserve"> </w:t>
      </w:r>
      <w:proofErr w:type="spellStart"/>
      <w:r w:rsidR="00A21756">
        <w:rPr>
          <w:rFonts w:asciiTheme="minorHAnsi" w:hAnsiTheme="minorHAnsi"/>
          <w:sz w:val="22"/>
          <w:szCs w:val="22"/>
        </w:rPr>
        <w:t>kraćem</w:t>
      </w:r>
      <w:proofErr w:type="spellEnd"/>
      <w:r w:rsidR="00A21756">
        <w:rPr>
          <w:rFonts w:asciiTheme="minorHAnsi" w:hAnsiTheme="minorHAnsi"/>
          <w:sz w:val="22"/>
          <w:szCs w:val="22"/>
        </w:rPr>
        <w:t xml:space="preserve"> </w:t>
      </w:r>
      <w:proofErr w:type="spellStart"/>
      <w:r w:rsidR="00A21756">
        <w:rPr>
          <w:rFonts w:asciiTheme="minorHAnsi" w:hAnsiTheme="minorHAnsi"/>
          <w:sz w:val="22"/>
          <w:szCs w:val="22"/>
        </w:rPr>
        <w:t>programu</w:t>
      </w:r>
      <w:proofErr w:type="spellEnd"/>
      <w:r w:rsidR="00A21756">
        <w:rPr>
          <w:rFonts w:asciiTheme="minorHAnsi" w:hAnsiTheme="minorHAnsi"/>
          <w:sz w:val="22"/>
          <w:szCs w:val="22"/>
        </w:rPr>
        <w:t xml:space="preserve"> </w:t>
      </w:r>
      <w:proofErr w:type="spellStart"/>
      <w:r w:rsidR="00A21756">
        <w:rPr>
          <w:rFonts w:asciiTheme="minorHAnsi" w:hAnsiTheme="minorHAnsi"/>
          <w:sz w:val="22"/>
          <w:szCs w:val="22"/>
        </w:rPr>
        <w:t>smanjuje</w:t>
      </w:r>
      <w:proofErr w:type="spellEnd"/>
      <w:r w:rsidR="00A21756">
        <w:rPr>
          <w:rFonts w:asciiTheme="minorHAnsi" w:hAnsiTheme="minorHAnsi"/>
          <w:sz w:val="22"/>
          <w:szCs w:val="22"/>
        </w:rPr>
        <w:t xml:space="preserve">, </w:t>
      </w:r>
      <w:proofErr w:type="spellStart"/>
      <w:r w:rsidR="00A21756">
        <w:rPr>
          <w:rFonts w:asciiTheme="minorHAnsi" w:hAnsiTheme="minorHAnsi"/>
          <w:sz w:val="22"/>
          <w:szCs w:val="22"/>
        </w:rPr>
        <w:t>jako</w:t>
      </w:r>
      <w:proofErr w:type="spellEnd"/>
      <w:r w:rsidR="00A21756">
        <w:rPr>
          <w:rFonts w:asciiTheme="minorHAnsi" w:hAnsiTheme="minorHAnsi"/>
          <w:sz w:val="22"/>
          <w:szCs w:val="22"/>
        </w:rPr>
        <w:t xml:space="preserve"> je dobro da </w:t>
      </w:r>
      <w:proofErr w:type="spellStart"/>
      <w:r w:rsidR="00A21756">
        <w:rPr>
          <w:rFonts w:asciiTheme="minorHAnsi" w:hAnsiTheme="minorHAnsi"/>
          <w:sz w:val="22"/>
          <w:szCs w:val="22"/>
        </w:rPr>
        <w:t>takva</w:t>
      </w:r>
      <w:proofErr w:type="spellEnd"/>
      <w:r w:rsidR="00A21756">
        <w:rPr>
          <w:rFonts w:asciiTheme="minorHAnsi" w:hAnsiTheme="minorHAnsi"/>
          <w:sz w:val="22"/>
          <w:szCs w:val="22"/>
        </w:rPr>
        <w:t xml:space="preserve"> </w:t>
      </w:r>
      <w:proofErr w:type="spellStart"/>
      <w:r w:rsidR="00A21756">
        <w:rPr>
          <w:rFonts w:asciiTheme="minorHAnsi" w:hAnsiTheme="minorHAnsi"/>
          <w:sz w:val="22"/>
          <w:szCs w:val="22"/>
        </w:rPr>
        <w:t>ponuda</w:t>
      </w:r>
      <w:proofErr w:type="spellEnd"/>
      <w:r w:rsidR="00A21756">
        <w:rPr>
          <w:rFonts w:asciiTheme="minorHAnsi" w:hAnsiTheme="minorHAnsi"/>
          <w:sz w:val="22"/>
          <w:szCs w:val="22"/>
        </w:rPr>
        <w:t xml:space="preserve"> </w:t>
      </w:r>
      <w:proofErr w:type="spellStart"/>
      <w:r w:rsidR="00A21756">
        <w:rPr>
          <w:rFonts w:asciiTheme="minorHAnsi" w:hAnsiTheme="minorHAnsi"/>
          <w:sz w:val="22"/>
          <w:szCs w:val="22"/>
        </w:rPr>
        <w:t>uopste</w:t>
      </w:r>
      <w:proofErr w:type="spellEnd"/>
      <w:r w:rsidR="00A21756">
        <w:rPr>
          <w:rFonts w:asciiTheme="minorHAnsi" w:hAnsiTheme="minorHAnsi"/>
          <w:sz w:val="22"/>
          <w:szCs w:val="22"/>
        </w:rPr>
        <w:t xml:space="preserve"> </w:t>
      </w:r>
      <w:proofErr w:type="spellStart"/>
      <w:r w:rsidR="00A21756">
        <w:rPr>
          <w:rFonts w:asciiTheme="minorHAnsi" w:hAnsiTheme="minorHAnsi"/>
          <w:sz w:val="22"/>
          <w:szCs w:val="22"/>
        </w:rPr>
        <w:t>i</w:t>
      </w:r>
      <w:proofErr w:type="spellEnd"/>
      <w:r w:rsidR="00A21756">
        <w:rPr>
          <w:rFonts w:asciiTheme="minorHAnsi" w:hAnsiTheme="minorHAnsi"/>
          <w:sz w:val="22"/>
          <w:szCs w:val="22"/>
        </w:rPr>
        <w:t xml:space="preserve"> </w:t>
      </w:r>
      <w:proofErr w:type="spellStart"/>
      <w:r w:rsidR="00A21756">
        <w:rPr>
          <w:rFonts w:asciiTheme="minorHAnsi" w:hAnsiTheme="minorHAnsi"/>
          <w:sz w:val="22"/>
          <w:szCs w:val="22"/>
        </w:rPr>
        <w:t>postoji</w:t>
      </w:r>
      <w:proofErr w:type="spellEnd"/>
      <w:r w:rsidR="00A21756">
        <w:rPr>
          <w:rFonts w:asciiTheme="minorHAnsi" w:hAnsiTheme="minorHAnsi"/>
          <w:sz w:val="22"/>
          <w:szCs w:val="22"/>
        </w:rPr>
        <w:t xml:space="preserve">. </w:t>
      </w:r>
    </w:p>
    <w:p w14:paraId="245F39FD" w14:textId="77777777" w:rsidR="003130B7" w:rsidRPr="002D6D78" w:rsidRDefault="003130B7" w:rsidP="00DB5D24">
      <w:pPr>
        <w:jc w:val="both"/>
        <w:rPr>
          <w:rFonts w:asciiTheme="minorHAnsi" w:hAnsiTheme="minorHAnsi"/>
          <w:sz w:val="22"/>
          <w:szCs w:val="22"/>
        </w:rPr>
      </w:pPr>
    </w:p>
    <w:p w14:paraId="38BD5D88" w14:textId="55B5E76A" w:rsidR="00DB5D24" w:rsidRPr="00001AF1" w:rsidRDefault="00DB5D24" w:rsidP="00DB5D24">
      <w:pPr>
        <w:spacing w:after="60"/>
        <w:rPr>
          <w:rFonts w:ascii="Cambria" w:hAnsi="Cambria"/>
          <w:b/>
          <w:sz w:val="22"/>
          <w:szCs w:val="22"/>
        </w:rPr>
      </w:pPr>
      <w:proofErr w:type="spellStart"/>
      <w:r w:rsidRPr="00001AF1">
        <w:rPr>
          <w:rFonts w:ascii="Cambria" w:hAnsi="Cambria"/>
          <w:b/>
          <w:sz w:val="22"/>
          <w:szCs w:val="22"/>
        </w:rPr>
        <w:t>Tabela</w:t>
      </w:r>
      <w:proofErr w:type="spellEnd"/>
      <w:r w:rsidRPr="00001AF1">
        <w:rPr>
          <w:rFonts w:ascii="Cambria" w:hAnsi="Cambria"/>
          <w:b/>
          <w:sz w:val="22"/>
          <w:szCs w:val="22"/>
        </w:rPr>
        <w:t xml:space="preserve"> </w:t>
      </w:r>
      <w:r w:rsidR="009A51E8">
        <w:rPr>
          <w:rFonts w:ascii="Cambria" w:hAnsi="Cambria"/>
          <w:b/>
          <w:sz w:val="22"/>
          <w:szCs w:val="22"/>
        </w:rPr>
        <w:t>3</w:t>
      </w:r>
      <w:r w:rsidRPr="00001AF1">
        <w:rPr>
          <w:rFonts w:ascii="Cambria" w:hAnsi="Cambria"/>
          <w:b/>
          <w:sz w:val="22"/>
          <w:szCs w:val="22"/>
        </w:rPr>
        <w:t xml:space="preserve">. Deca u </w:t>
      </w:r>
      <w:proofErr w:type="spellStart"/>
      <w:r w:rsidRPr="00001AF1">
        <w:rPr>
          <w:rFonts w:ascii="Cambria" w:hAnsi="Cambria"/>
          <w:b/>
          <w:sz w:val="22"/>
          <w:szCs w:val="22"/>
        </w:rPr>
        <w:t>predškolskom</w:t>
      </w:r>
      <w:proofErr w:type="spellEnd"/>
      <w:r w:rsidRPr="00001AF1">
        <w:rPr>
          <w:rFonts w:ascii="Cambria" w:hAnsi="Cambria"/>
          <w:b/>
          <w:sz w:val="22"/>
          <w:szCs w:val="22"/>
        </w:rPr>
        <w:t xml:space="preserve"> </w:t>
      </w:r>
      <w:proofErr w:type="spellStart"/>
      <w:r w:rsidRPr="00001AF1">
        <w:rPr>
          <w:rFonts w:ascii="Cambria" w:hAnsi="Cambria"/>
          <w:b/>
          <w:sz w:val="22"/>
          <w:szCs w:val="22"/>
        </w:rPr>
        <w:t>obrazovanju</w:t>
      </w:r>
      <w:proofErr w:type="spellEnd"/>
      <w:r w:rsidRPr="00001AF1">
        <w:rPr>
          <w:rFonts w:ascii="Cambria" w:hAnsi="Cambria"/>
          <w:b/>
          <w:sz w:val="22"/>
          <w:szCs w:val="22"/>
        </w:rPr>
        <w:t xml:space="preserve"> </w:t>
      </w:r>
      <w:proofErr w:type="spellStart"/>
      <w:r w:rsidRPr="00001AF1">
        <w:rPr>
          <w:rFonts w:ascii="Cambria" w:hAnsi="Cambria"/>
          <w:b/>
          <w:sz w:val="22"/>
          <w:szCs w:val="22"/>
        </w:rPr>
        <w:t>prema</w:t>
      </w:r>
      <w:proofErr w:type="spellEnd"/>
      <w:r w:rsidRPr="00001AF1">
        <w:rPr>
          <w:rFonts w:ascii="Cambria" w:hAnsi="Cambria"/>
          <w:b/>
          <w:sz w:val="22"/>
          <w:szCs w:val="22"/>
        </w:rPr>
        <w:t xml:space="preserve"> </w:t>
      </w:r>
      <w:proofErr w:type="spellStart"/>
      <w:r w:rsidRPr="00001AF1">
        <w:rPr>
          <w:rFonts w:ascii="Cambria" w:hAnsi="Cambria"/>
          <w:b/>
          <w:sz w:val="22"/>
          <w:szCs w:val="22"/>
        </w:rPr>
        <w:t>dužini</w:t>
      </w:r>
      <w:proofErr w:type="spellEnd"/>
      <w:r w:rsidRPr="00001AF1">
        <w:rPr>
          <w:rFonts w:ascii="Cambria" w:hAnsi="Cambria"/>
          <w:b/>
          <w:sz w:val="22"/>
          <w:szCs w:val="22"/>
        </w:rPr>
        <w:t xml:space="preserve"> </w:t>
      </w:r>
      <w:proofErr w:type="spellStart"/>
      <w:r w:rsidRPr="00001AF1">
        <w:rPr>
          <w:rFonts w:ascii="Cambria" w:hAnsi="Cambria"/>
          <w:b/>
          <w:sz w:val="22"/>
          <w:szCs w:val="22"/>
        </w:rPr>
        <w:t>dnevnog</w:t>
      </w:r>
      <w:proofErr w:type="spellEnd"/>
      <w:r w:rsidRPr="00001AF1">
        <w:rPr>
          <w:rFonts w:ascii="Cambria" w:hAnsi="Cambria"/>
          <w:b/>
          <w:sz w:val="22"/>
          <w:szCs w:val="22"/>
        </w:rPr>
        <w:t xml:space="preserve"> </w:t>
      </w:r>
      <w:proofErr w:type="spellStart"/>
      <w:r w:rsidRPr="00001AF1">
        <w:rPr>
          <w:rFonts w:ascii="Cambria" w:hAnsi="Cambria"/>
          <w:b/>
          <w:sz w:val="22"/>
          <w:szCs w:val="22"/>
        </w:rPr>
        <w:t>boravka</w:t>
      </w:r>
      <w:proofErr w:type="spellEnd"/>
      <w:r w:rsidRPr="00001AF1">
        <w:rPr>
          <w:rFonts w:ascii="Cambria" w:hAnsi="Cambria"/>
          <w:b/>
          <w:sz w:val="22"/>
          <w:szCs w:val="22"/>
        </w:rPr>
        <w:t>, 201</w:t>
      </w:r>
      <w:r w:rsidR="000B15D9">
        <w:rPr>
          <w:rFonts w:ascii="Cambria" w:hAnsi="Cambria"/>
          <w:b/>
          <w:sz w:val="22"/>
          <w:szCs w:val="22"/>
        </w:rPr>
        <w:t>7</w:t>
      </w:r>
      <w:r w:rsidRPr="00001AF1">
        <w:rPr>
          <w:rFonts w:ascii="Cambria" w:hAnsi="Cambria"/>
          <w:b/>
          <w:sz w:val="22"/>
          <w:szCs w:val="22"/>
        </w:rPr>
        <w:t>─201</w:t>
      </w:r>
      <w:r w:rsidR="000B15D9">
        <w:rPr>
          <w:rFonts w:ascii="Cambria" w:hAnsi="Cambria"/>
          <w:b/>
          <w:sz w:val="22"/>
          <w:szCs w:val="22"/>
        </w:rPr>
        <w:t>9</w:t>
      </w:r>
      <w:r w:rsidRPr="00001AF1">
        <w:rPr>
          <w:rFonts w:ascii="Cambria" w:hAnsi="Cambria"/>
          <w:b/>
          <w:sz w:val="22"/>
          <w:szCs w:val="22"/>
        </w:rPr>
        <w:t>. (%)</w:t>
      </w:r>
    </w:p>
    <w:tbl>
      <w:tblPr>
        <w:tblW w:w="7650" w:type="dxa"/>
        <w:jc w:val="center"/>
        <w:tblLook w:val="04A0" w:firstRow="1" w:lastRow="0" w:firstColumn="1" w:lastColumn="0" w:noHBand="0" w:noVBand="1"/>
      </w:tblPr>
      <w:tblGrid>
        <w:gridCol w:w="2340"/>
        <w:gridCol w:w="2090"/>
        <w:gridCol w:w="1780"/>
        <w:gridCol w:w="1440"/>
      </w:tblGrid>
      <w:tr w:rsidR="000B15D9" w14:paraId="21286BBC" w14:textId="77777777" w:rsidTr="00D8171C">
        <w:trPr>
          <w:trHeight w:val="324"/>
          <w:jc w:val="center"/>
        </w:trPr>
        <w:tc>
          <w:tcPr>
            <w:tcW w:w="2340" w:type="dxa"/>
            <w:tcBorders>
              <w:top w:val="single" w:sz="4" w:space="0" w:color="auto"/>
              <w:left w:val="nil"/>
              <w:bottom w:val="single" w:sz="8" w:space="0" w:color="78A0D0"/>
              <w:right w:val="nil"/>
            </w:tcBorders>
            <w:shd w:val="clear" w:color="auto" w:fill="auto"/>
            <w:noWrap/>
            <w:hideMark/>
          </w:tcPr>
          <w:p w14:paraId="050ECF6D" w14:textId="77777777" w:rsidR="000B15D9" w:rsidRPr="000B15D9" w:rsidRDefault="000B15D9">
            <w:pPr>
              <w:rPr>
                <w:sz w:val="21"/>
                <w:szCs w:val="21"/>
              </w:rPr>
            </w:pPr>
          </w:p>
        </w:tc>
        <w:tc>
          <w:tcPr>
            <w:tcW w:w="2090" w:type="dxa"/>
            <w:tcBorders>
              <w:top w:val="single" w:sz="4" w:space="0" w:color="auto"/>
              <w:left w:val="nil"/>
              <w:bottom w:val="single" w:sz="8" w:space="0" w:color="78A0D0"/>
              <w:right w:val="nil"/>
            </w:tcBorders>
            <w:shd w:val="clear" w:color="auto" w:fill="auto"/>
            <w:noWrap/>
            <w:hideMark/>
          </w:tcPr>
          <w:p w14:paraId="2438406C" w14:textId="77777777" w:rsidR="000B15D9" w:rsidRPr="000B15D9" w:rsidRDefault="000B15D9">
            <w:pPr>
              <w:jc w:val="right"/>
              <w:rPr>
                <w:rFonts w:ascii="Arial" w:hAnsi="Arial" w:cs="Arial"/>
                <w:b/>
                <w:color w:val="000000"/>
                <w:sz w:val="21"/>
                <w:szCs w:val="21"/>
              </w:rPr>
            </w:pPr>
            <w:r w:rsidRPr="000B15D9">
              <w:rPr>
                <w:rFonts w:ascii="Arial" w:hAnsi="Arial" w:cs="Arial"/>
                <w:b/>
                <w:color w:val="000000"/>
                <w:sz w:val="21"/>
                <w:szCs w:val="21"/>
              </w:rPr>
              <w:t>2017</w:t>
            </w:r>
          </w:p>
        </w:tc>
        <w:tc>
          <w:tcPr>
            <w:tcW w:w="1780" w:type="dxa"/>
            <w:tcBorders>
              <w:top w:val="single" w:sz="4" w:space="0" w:color="auto"/>
              <w:left w:val="nil"/>
              <w:bottom w:val="single" w:sz="8" w:space="0" w:color="78A0D0"/>
              <w:right w:val="nil"/>
            </w:tcBorders>
            <w:shd w:val="clear" w:color="auto" w:fill="auto"/>
            <w:noWrap/>
            <w:hideMark/>
          </w:tcPr>
          <w:p w14:paraId="1D0C2F13" w14:textId="77777777" w:rsidR="000B15D9" w:rsidRPr="000B15D9" w:rsidRDefault="000B15D9">
            <w:pPr>
              <w:jc w:val="right"/>
              <w:rPr>
                <w:rFonts w:ascii="Arial" w:hAnsi="Arial" w:cs="Arial"/>
                <w:b/>
                <w:color w:val="000000"/>
                <w:sz w:val="21"/>
                <w:szCs w:val="21"/>
              </w:rPr>
            </w:pPr>
            <w:r w:rsidRPr="000B15D9">
              <w:rPr>
                <w:rFonts w:ascii="Arial" w:hAnsi="Arial" w:cs="Arial"/>
                <w:b/>
                <w:color w:val="000000"/>
                <w:sz w:val="21"/>
                <w:szCs w:val="21"/>
              </w:rPr>
              <w:t>2018</w:t>
            </w:r>
          </w:p>
        </w:tc>
        <w:tc>
          <w:tcPr>
            <w:tcW w:w="1440" w:type="dxa"/>
            <w:tcBorders>
              <w:top w:val="single" w:sz="4" w:space="0" w:color="auto"/>
              <w:left w:val="nil"/>
              <w:bottom w:val="single" w:sz="8" w:space="0" w:color="78A0D0"/>
              <w:right w:val="nil"/>
            </w:tcBorders>
            <w:shd w:val="clear" w:color="auto" w:fill="auto"/>
            <w:noWrap/>
            <w:hideMark/>
          </w:tcPr>
          <w:p w14:paraId="7776BC72" w14:textId="77777777" w:rsidR="000B15D9" w:rsidRPr="000B15D9" w:rsidRDefault="000B15D9">
            <w:pPr>
              <w:jc w:val="right"/>
              <w:rPr>
                <w:rFonts w:ascii="Arial" w:hAnsi="Arial" w:cs="Arial"/>
                <w:b/>
                <w:color w:val="000000"/>
                <w:sz w:val="21"/>
                <w:szCs w:val="21"/>
              </w:rPr>
            </w:pPr>
            <w:r w:rsidRPr="000B15D9">
              <w:rPr>
                <w:rFonts w:ascii="Arial" w:hAnsi="Arial" w:cs="Arial"/>
                <w:b/>
                <w:color w:val="000000"/>
                <w:sz w:val="21"/>
                <w:szCs w:val="21"/>
              </w:rPr>
              <w:t>2019</w:t>
            </w:r>
          </w:p>
        </w:tc>
      </w:tr>
      <w:tr w:rsidR="000B15D9" w14:paraId="6A015362" w14:textId="77777777" w:rsidTr="00D8171C">
        <w:trPr>
          <w:trHeight w:hRule="exact" w:val="288"/>
          <w:jc w:val="center"/>
        </w:trPr>
        <w:tc>
          <w:tcPr>
            <w:tcW w:w="2340" w:type="dxa"/>
            <w:tcBorders>
              <w:top w:val="single" w:sz="8" w:space="0" w:color="78A0D0"/>
              <w:left w:val="nil"/>
              <w:bottom w:val="nil"/>
              <w:right w:val="nil"/>
            </w:tcBorders>
            <w:shd w:val="clear" w:color="auto" w:fill="auto"/>
            <w:hideMark/>
          </w:tcPr>
          <w:p w14:paraId="26B9CAC3" w14:textId="77777777" w:rsidR="000B15D9" w:rsidRPr="000B15D9" w:rsidRDefault="000B15D9" w:rsidP="000B15D9">
            <w:pPr>
              <w:rPr>
                <w:rFonts w:ascii="Arial" w:hAnsi="Arial" w:cs="Arial"/>
                <w:color w:val="000000"/>
                <w:sz w:val="21"/>
                <w:szCs w:val="21"/>
              </w:rPr>
            </w:pPr>
            <w:r w:rsidRPr="000B15D9">
              <w:rPr>
                <w:rFonts w:ascii="Arial" w:hAnsi="Arial" w:cs="Arial"/>
                <w:color w:val="000000"/>
                <w:sz w:val="21"/>
                <w:szCs w:val="21"/>
              </w:rPr>
              <w:t xml:space="preserve">Do 6 sati </w:t>
            </w:r>
            <w:proofErr w:type="spellStart"/>
            <w:r w:rsidRPr="000B15D9">
              <w:rPr>
                <w:rFonts w:ascii="Arial" w:hAnsi="Arial" w:cs="Arial"/>
                <w:color w:val="000000"/>
                <w:sz w:val="21"/>
                <w:szCs w:val="21"/>
              </w:rPr>
              <w:t>dnevno</w:t>
            </w:r>
            <w:proofErr w:type="spellEnd"/>
          </w:p>
        </w:tc>
        <w:tc>
          <w:tcPr>
            <w:tcW w:w="2090" w:type="dxa"/>
            <w:tcBorders>
              <w:top w:val="single" w:sz="8" w:space="0" w:color="78A0D0"/>
              <w:left w:val="nil"/>
              <w:bottom w:val="nil"/>
              <w:right w:val="nil"/>
            </w:tcBorders>
            <w:shd w:val="clear" w:color="auto" w:fill="auto"/>
            <w:noWrap/>
            <w:hideMark/>
          </w:tcPr>
          <w:p w14:paraId="40A46EE9" w14:textId="38D54D01" w:rsidR="000B15D9" w:rsidRPr="000B15D9" w:rsidRDefault="003E2766" w:rsidP="000B15D9">
            <w:pPr>
              <w:jc w:val="right"/>
              <w:rPr>
                <w:rFonts w:ascii="Arial" w:hAnsi="Arial" w:cs="Arial"/>
                <w:color w:val="000000"/>
                <w:sz w:val="21"/>
                <w:szCs w:val="21"/>
              </w:rPr>
            </w:pPr>
            <w:r>
              <w:rPr>
                <w:rFonts w:ascii="Arial" w:hAnsi="Arial" w:cs="Arial"/>
                <w:color w:val="000000"/>
                <w:sz w:val="21"/>
                <w:szCs w:val="21"/>
              </w:rPr>
              <w:t>13,6</w:t>
            </w:r>
          </w:p>
        </w:tc>
        <w:tc>
          <w:tcPr>
            <w:tcW w:w="1780" w:type="dxa"/>
            <w:tcBorders>
              <w:top w:val="single" w:sz="8" w:space="0" w:color="78A0D0"/>
              <w:left w:val="nil"/>
              <w:bottom w:val="nil"/>
              <w:right w:val="nil"/>
            </w:tcBorders>
            <w:shd w:val="clear" w:color="auto" w:fill="auto"/>
            <w:noWrap/>
            <w:hideMark/>
          </w:tcPr>
          <w:p w14:paraId="7F3FB2D6" w14:textId="319C90C0" w:rsidR="000B15D9" w:rsidRPr="000B15D9" w:rsidRDefault="003E2766">
            <w:pPr>
              <w:jc w:val="right"/>
              <w:rPr>
                <w:rFonts w:ascii="Arial" w:hAnsi="Arial" w:cs="Arial"/>
                <w:color w:val="000000"/>
                <w:sz w:val="21"/>
                <w:szCs w:val="21"/>
              </w:rPr>
            </w:pPr>
            <w:r>
              <w:rPr>
                <w:rFonts w:ascii="Arial" w:hAnsi="Arial" w:cs="Arial"/>
                <w:color w:val="000000"/>
                <w:sz w:val="21"/>
                <w:szCs w:val="21"/>
              </w:rPr>
              <w:t>11,7</w:t>
            </w:r>
          </w:p>
        </w:tc>
        <w:tc>
          <w:tcPr>
            <w:tcW w:w="1440" w:type="dxa"/>
            <w:tcBorders>
              <w:top w:val="single" w:sz="8" w:space="0" w:color="78A0D0"/>
              <w:left w:val="nil"/>
              <w:bottom w:val="nil"/>
              <w:right w:val="nil"/>
            </w:tcBorders>
            <w:shd w:val="clear" w:color="auto" w:fill="auto"/>
            <w:noWrap/>
            <w:hideMark/>
          </w:tcPr>
          <w:p w14:paraId="49BCC5E9" w14:textId="6B6E71A8" w:rsidR="000B15D9" w:rsidRPr="000B15D9" w:rsidRDefault="003E2766">
            <w:pPr>
              <w:jc w:val="right"/>
              <w:rPr>
                <w:rFonts w:ascii="Arial" w:hAnsi="Arial" w:cs="Arial"/>
                <w:color w:val="000000"/>
                <w:sz w:val="21"/>
                <w:szCs w:val="21"/>
              </w:rPr>
            </w:pPr>
            <w:r>
              <w:rPr>
                <w:rFonts w:ascii="Arial" w:hAnsi="Arial" w:cs="Arial"/>
                <w:color w:val="000000"/>
                <w:sz w:val="21"/>
                <w:szCs w:val="21"/>
              </w:rPr>
              <w:t>6,2</w:t>
            </w:r>
          </w:p>
        </w:tc>
      </w:tr>
      <w:tr w:rsidR="000B15D9" w14:paraId="2677D76C" w14:textId="77777777" w:rsidTr="00D8171C">
        <w:trPr>
          <w:trHeight w:hRule="exact" w:val="288"/>
          <w:jc w:val="center"/>
        </w:trPr>
        <w:tc>
          <w:tcPr>
            <w:tcW w:w="2340" w:type="dxa"/>
            <w:tcBorders>
              <w:top w:val="nil"/>
              <w:left w:val="nil"/>
              <w:bottom w:val="nil"/>
              <w:right w:val="nil"/>
            </w:tcBorders>
            <w:shd w:val="clear" w:color="auto" w:fill="auto"/>
            <w:hideMark/>
          </w:tcPr>
          <w:p w14:paraId="4FE8CB57" w14:textId="77777777" w:rsidR="000B15D9" w:rsidRPr="000B15D9" w:rsidRDefault="000B15D9" w:rsidP="000B15D9">
            <w:pPr>
              <w:rPr>
                <w:rFonts w:ascii="Arial" w:hAnsi="Arial" w:cs="Arial"/>
                <w:color w:val="000000"/>
                <w:sz w:val="21"/>
                <w:szCs w:val="21"/>
              </w:rPr>
            </w:pPr>
            <w:r w:rsidRPr="000B15D9">
              <w:rPr>
                <w:rFonts w:ascii="Arial" w:hAnsi="Arial" w:cs="Arial"/>
                <w:color w:val="000000"/>
                <w:sz w:val="21"/>
                <w:szCs w:val="21"/>
              </w:rPr>
              <w:t xml:space="preserve">Do 6  sati </w:t>
            </w:r>
            <w:proofErr w:type="spellStart"/>
            <w:r w:rsidRPr="000B15D9">
              <w:rPr>
                <w:rFonts w:ascii="Arial" w:hAnsi="Arial" w:cs="Arial"/>
                <w:color w:val="000000"/>
                <w:sz w:val="21"/>
                <w:szCs w:val="21"/>
              </w:rPr>
              <w:t>dnevno</w:t>
            </w:r>
            <w:proofErr w:type="spellEnd"/>
            <w:r w:rsidRPr="000B15D9">
              <w:rPr>
                <w:rFonts w:ascii="Arial" w:hAnsi="Arial" w:cs="Arial"/>
                <w:color w:val="000000"/>
                <w:sz w:val="21"/>
                <w:szCs w:val="21"/>
              </w:rPr>
              <w:t xml:space="preserve"> 3 puta </w:t>
            </w:r>
            <w:proofErr w:type="spellStart"/>
            <w:r w:rsidRPr="000B15D9">
              <w:rPr>
                <w:rFonts w:ascii="Arial" w:hAnsi="Arial" w:cs="Arial"/>
                <w:color w:val="000000"/>
                <w:sz w:val="21"/>
                <w:szCs w:val="21"/>
              </w:rPr>
              <w:t>nedeljno</w:t>
            </w:r>
            <w:proofErr w:type="spellEnd"/>
          </w:p>
        </w:tc>
        <w:tc>
          <w:tcPr>
            <w:tcW w:w="2090" w:type="dxa"/>
            <w:tcBorders>
              <w:top w:val="nil"/>
              <w:left w:val="nil"/>
              <w:bottom w:val="nil"/>
              <w:right w:val="nil"/>
            </w:tcBorders>
            <w:shd w:val="clear" w:color="auto" w:fill="auto"/>
            <w:noWrap/>
            <w:hideMark/>
          </w:tcPr>
          <w:p w14:paraId="30CDA24C" w14:textId="69462664" w:rsidR="000B15D9" w:rsidRPr="000B15D9" w:rsidRDefault="000B15D9" w:rsidP="000B15D9">
            <w:pPr>
              <w:jc w:val="right"/>
              <w:rPr>
                <w:rFonts w:ascii="Arial" w:hAnsi="Arial" w:cs="Arial"/>
                <w:color w:val="000000"/>
                <w:sz w:val="21"/>
                <w:szCs w:val="21"/>
              </w:rPr>
            </w:pPr>
            <w:r w:rsidRPr="000B15D9">
              <w:rPr>
                <w:rFonts w:ascii="Arial" w:hAnsi="Arial" w:cs="Arial"/>
                <w:color w:val="000000"/>
                <w:sz w:val="21"/>
                <w:szCs w:val="21"/>
              </w:rPr>
              <w:t>0</w:t>
            </w:r>
            <w:r w:rsidR="00A21756">
              <w:rPr>
                <w:rFonts w:ascii="Arial" w:hAnsi="Arial" w:cs="Arial"/>
                <w:color w:val="000000"/>
                <w:sz w:val="21"/>
                <w:szCs w:val="21"/>
              </w:rPr>
              <w:t>,</w:t>
            </w:r>
            <w:r w:rsidRPr="000B15D9">
              <w:rPr>
                <w:rFonts w:ascii="Arial" w:hAnsi="Arial" w:cs="Arial"/>
                <w:color w:val="000000"/>
                <w:sz w:val="21"/>
                <w:szCs w:val="21"/>
              </w:rPr>
              <w:t>0</w:t>
            </w:r>
          </w:p>
        </w:tc>
        <w:tc>
          <w:tcPr>
            <w:tcW w:w="1780" w:type="dxa"/>
            <w:tcBorders>
              <w:top w:val="nil"/>
              <w:left w:val="nil"/>
              <w:bottom w:val="nil"/>
              <w:right w:val="nil"/>
            </w:tcBorders>
            <w:shd w:val="clear" w:color="auto" w:fill="auto"/>
            <w:noWrap/>
            <w:hideMark/>
          </w:tcPr>
          <w:p w14:paraId="5BD80158" w14:textId="66E41FF0" w:rsidR="000B15D9" w:rsidRPr="000B15D9" w:rsidRDefault="000B15D9">
            <w:pPr>
              <w:jc w:val="right"/>
              <w:rPr>
                <w:rFonts w:ascii="Arial" w:hAnsi="Arial" w:cs="Arial"/>
                <w:color w:val="000000"/>
                <w:sz w:val="21"/>
                <w:szCs w:val="21"/>
              </w:rPr>
            </w:pPr>
            <w:r w:rsidRPr="000B15D9">
              <w:rPr>
                <w:rFonts w:ascii="Arial" w:hAnsi="Arial" w:cs="Arial"/>
                <w:color w:val="000000"/>
                <w:sz w:val="21"/>
                <w:szCs w:val="21"/>
              </w:rPr>
              <w:t>0</w:t>
            </w:r>
            <w:r w:rsidR="00A21756">
              <w:rPr>
                <w:rFonts w:ascii="Arial" w:hAnsi="Arial" w:cs="Arial"/>
                <w:color w:val="000000"/>
                <w:sz w:val="21"/>
                <w:szCs w:val="21"/>
              </w:rPr>
              <w:t>,</w:t>
            </w:r>
            <w:r w:rsidRPr="000B15D9">
              <w:rPr>
                <w:rFonts w:ascii="Arial" w:hAnsi="Arial" w:cs="Arial"/>
                <w:color w:val="000000"/>
                <w:sz w:val="21"/>
                <w:szCs w:val="21"/>
              </w:rPr>
              <w:t>0</w:t>
            </w:r>
          </w:p>
        </w:tc>
        <w:tc>
          <w:tcPr>
            <w:tcW w:w="1440" w:type="dxa"/>
            <w:tcBorders>
              <w:top w:val="nil"/>
              <w:left w:val="nil"/>
              <w:bottom w:val="nil"/>
              <w:right w:val="nil"/>
            </w:tcBorders>
            <w:shd w:val="clear" w:color="auto" w:fill="auto"/>
            <w:noWrap/>
            <w:hideMark/>
          </w:tcPr>
          <w:p w14:paraId="08B86E9B" w14:textId="15A01F3A" w:rsidR="000B15D9" w:rsidRPr="000B15D9" w:rsidRDefault="000B15D9">
            <w:pPr>
              <w:jc w:val="right"/>
              <w:rPr>
                <w:rFonts w:ascii="Arial" w:hAnsi="Arial" w:cs="Arial"/>
                <w:color w:val="000000"/>
                <w:sz w:val="21"/>
                <w:szCs w:val="21"/>
              </w:rPr>
            </w:pPr>
            <w:r w:rsidRPr="000B15D9">
              <w:rPr>
                <w:rFonts w:ascii="Arial" w:hAnsi="Arial" w:cs="Arial"/>
                <w:color w:val="000000"/>
                <w:sz w:val="21"/>
                <w:szCs w:val="21"/>
              </w:rPr>
              <w:t>0</w:t>
            </w:r>
            <w:r w:rsidR="00A21756">
              <w:rPr>
                <w:rFonts w:ascii="Arial" w:hAnsi="Arial" w:cs="Arial"/>
                <w:color w:val="000000"/>
                <w:sz w:val="21"/>
                <w:szCs w:val="21"/>
              </w:rPr>
              <w:t>,</w:t>
            </w:r>
            <w:r w:rsidRPr="000B15D9">
              <w:rPr>
                <w:rFonts w:ascii="Arial" w:hAnsi="Arial" w:cs="Arial"/>
                <w:color w:val="000000"/>
                <w:sz w:val="21"/>
                <w:szCs w:val="21"/>
              </w:rPr>
              <w:t>0</w:t>
            </w:r>
          </w:p>
        </w:tc>
      </w:tr>
      <w:tr w:rsidR="000B15D9" w14:paraId="37565286" w14:textId="77777777" w:rsidTr="00D8171C">
        <w:trPr>
          <w:trHeight w:hRule="exact" w:val="288"/>
          <w:jc w:val="center"/>
        </w:trPr>
        <w:tc>
          <w:tcPr>
            <w:tcW w:w="2340" w:type="dxa"/>
            <w:tcBorders>
              <w:top w:val="nil"/>
              <w:left w:val="nil"/>
              <w:bottom w:val="nil"/>
              <w:right w:val="nil"/>
            </w:tcBorders>
            <w:shd w:val="clear" w:color="auto" w:fill="auto"/>
            <w:hideMark/>
          </w:tcPr>
          <w:p w14:paraId="5E901D07" w14:textId="77777777" w:rsidR="000B15D9" w:rsidRPr="000B15D9" w:rsidRDefault="000B15D9" w:rsidP="000B15D9">
            <w:pPr>
              <w:rPr>
                <w:rFonts w:ascii="Arial" w:hAnsi="Arial" w:cs="Arial"/>
                <w:color w:val="000000"/>
                <w:sz w:val="21"/>
                <w:szCs w:val="21"/>
              </w:rPr>
            </w:pPr>
            <w:r w:rsidRPr="000B15D9">
              <w:rPr>
                <w:rFonts w:ascii="Arial" w:hAnsi="Arial" w:cs="Arial"/>
                <w:color w:val="000000"/>
                <w:sz w:val="21"/>
                <w:szCs w:val="21"/>
              </w:rPr>
              <w:t>Od 9 do 12 sati</w:t>
            </w:r>
          </w:p>
        </w:tc>
        <w:tc>
          <w:tcPr>
            <w:tcW w:w="2090" w:type="dxa"/>
            <w:tcBorders>
              <w:top w:val="nil"/>
              <w:left w:val="nil"/>
              <w:bottom w:val="nil"/>
              <w:right w:val="nil"/>
            </w:tcBorders>
            <w:shd w:val="clear" w:color="auto" w:fill="auto"/>
            <w:noWrap/>
            <w:hideMark/>
          </w:tcPr>
          <w:p w14:paraId="59B68ABB" w14:textId="49A37E3F" w:rsidR="000B15D9" w:rsidRPr="000B15D9" w:rsidRDefault="003E2766" w:rsidP="000B15D9">
            <w:pPr>
              <w:jc w:val="right"/>
              <w:rPr>
                <w:rFonts w:ascii="Arial" w:hAnsi="Arial" w:cs="Arial"/>
                <w:color w:val="000000"/>
                <w:sz w:val="21"/>
                <w:szCs w:val="21"/>
              </w:rPr>
            </w:pPr>
            <w:r>
              <w:rPr>
                <w:rFonts w:ascii="Arial" w:hAnsi="Arial" w:cs="Arial"/>
                <w:color w:val="000000"/>
                <w:sz w:val="21"/>
                <w:szCs w:val="21"/>
              </w:rPr>
              <w:t>48,7</w:t>
            </w:r>
          </w:p>
        </w:tc>
        <w:tc>
          <w:tcPr>
            <w:tcW w:w="1780" w:type="dxa"/>
            <w:tcBorders>
              <w:top w:val="nil"/>
              <w:left w:val="nil"/>
              <w:bottom w:val="nil"/>
              <w:right w:val="nil"/>
            </w:tcBorders>
            <w:shd w:val="clear" w:color="auto" w:fill="auto"/>
            <w:noWrap/>
            <w:hideMark/>
          </w:tcPr>
          <w:p w14:paraId="4AF50512" w14:textId="6E2521B3" w:rsidR="000B15D9" w:rsidRPr="000B15D9" w:rsidRDefault="009A5949">
            <w:pPr>
              <w:jc w:val="right"/>
              <w:rPr>
                <w:rFonts w:ascii="Arial" w:hAnsi="Arial" w:cs="Arial"/>
                <w:color w:val="000000"/>
                <w:sz w:val="21"/>
                <w:szCs w:val="21"/>
              </w:rPr>
            </w:pPr>
            <w:r>
              <w:rPr>
                <w:rFonts w:ascii="Arial" w:hAnsi="Arial" w:cs="Arial"/>
                <w:color w:val="000000"/>
                <w:sz w:val="21"/>
                <w:szCs w:val="21"/>
              </w:rPr>
              <w:t>53</w:t>
            </w:r>
            <w:r w:rsidR="003E2766">
              <w:rPr>
                <w:rFonts w:ascii="Arial" w:hAnsi="Arial" w:cs="Arial"/>
                <w:color w:val="000000"/>
                <w:sz w:val="21"/>
                <w:szCs w:val="21"/>
              </w:rPr>
              <w:t>,3</w:t>
            </w:r>
          </w:p>
        </w:tc>
        <w:tc>
          <w:tcPr>
            <w:tcW w:w="1440" w:type="dxa"/>
            <w:tcBorders>
              <w:top w:val="nil"/>
              <w:left w:val="nil"/>
              <w:bottom w:val="nil"/>
              <w:right w:val="nil"/>
            </w:tcBorders>
            <w:shd w:val="clear" w:color="auto" w:fill="auto"/>
            <w:noWrap/>
            <w:hideMark/>
          </w:tcPr>
          <w:p w14:paraId="34D054EA" w14:textId="71C6D2D1" w:rsidR="000B15D9" w:rsidRPr="000B15D9" w:rsidRDefault="003E2766">
            <w:pPr>
              <w:jc w:val="right"/>
              <w:rPr>
                <w:rFonts w:ascii="Arial" w:hAnsi="Arial" w:cs="Arial"/>
                <w:color w:val="000000"/>
                <w:sz w:val="21"/>
                <w:szCs w:val="21"/>
              </w:rPr>
            </w:pPr>
            <w:r>
              <w:rPr>
                <w:rFonts w:ascii="Arial" w:hAnsi="Arial" w:cs="Arial"/>
                <w:color w:val="000000"/>
                <w:sz w:val="21"/>
                <w:szCs w:val="21"/>
              </w:rPr>
              <w:t>51,4</w:t>
            </w:r>
          </w:p>
        </w:tc>
      </w:tr>
      <w:tr w:rsidR="000B15D9" w14:paraId="1B472544" w14:textId="77777777" w:rsidTr="00D8171C">
        <w:trPr>
          <w:trHeight w:hRule="exact" w:val="288"/>
          <w:jc w:val="center"/>
        </w:trPr>
        <w:tc>
          <w:tcPr>
            <w:tcW w:w="2340" w:type="dxa"/>
            <w:tcBorders>
              <w:top w:val="nil"/>
              <w:left w:val="nil"/>
              <w:bottom w:val="nil"/>
              <w:right w:val="nil"/>
            </w:tcBorders>
            <w:shd w:val="clear" w:color="auto" w:fill="auto"/>
            <w:hideMark/>
          </w:tcPr>
          <w:p w14:paraId="05A8BD65" w14:textId="77777777" w:rsidR="000B15D9" w:rsidRPr="000B15D9" w:rsidRDefault="000B15D9" w:rsidP="000B15D9">
            <w:pPr>
              <w:rPr>
                <w:rFonts w:ascii="Arial" w:hAnsi="Arial" w:cs="Arial"/>
                <w:color w:val="000000"/>
                <w:sz w:val="21"/>
                <w:szCs w:val="21"/>
              </w:rPr>
            </w:pPr>
            <w:r w:rsidRPr="000B15D9">
              <w:rPr>
                <w:rFonts w:ascii="Arial" w:hAnsi="Arial" w:cs="Arial"/>
                <w:color w:val="000000"/>
                <w:sz w:val="21"/>
                <w:szCs w:val="21"/>
              </w:rPr>
              <w:t xml:space="preserve">PPP 4 </w:t>
            </w:r>
            <w:proofErr w:type="spellStart"/>
            <w:r w:rsidRPr="000B15D9">
              <w:rPr>
                <w:rFonts w:ascii="Arial" w:hAnsi="Arial" w:cs="Arial"/>
                <w:color w:val="000000"/>
                <w:sz w:val="21"/>
                <w:szCs w:val="21"/>
              </w:rPr>
              <w:t>sata</w:t>
            </w:r>
            <w:proofErr w:type="spellEnd"/>
          </w:p>
        </w:tc>
        <w:tc>
          <w:tcPr>
            <w:tcW w:w="2090" w:type="dxa"/>
            <w:tcBorders>
              <w:top w:val="nil"/>
              <w:left w:val="nil"/>
              <w:bottom w:val="nil"/>
              <w:right w:val="nil"/>
            </w:tcBorders>
            <w:shd w:val="clear" w:color="auto" w:fill="auto"/>
            <w:noWrap/>
            <w:hideMark/>
          </w:tcPr>
          <w:p w14:paraId="35766F95" w14:textId="01FC2149" w:rsidR="000B15D9" w:rsidRPr="000B15D9" w:rsidRDefault="009A5949" w:rsidP="000B15D9">
            <w:pPr>
              <w:jc w:val="right"/>
              <w:rPr>
                <w:rFonts w:ascii="Arial" w:hAnsi="Arial" w:cs="Arial"/>
                <w:color w:val="000000"/>
                <w:sz w:val="21"/>
                <w:szCs w:val="21"/>
              </w:rPr>
            </w:pPr>
            <w:r>
              <w:rPr>
                <w:rFonts w:ascii="Arial" w:hAnsi="Arial" w:cs="Arial"/>
                <w:color w:val="000000"/>
                <w:sz w:val="21"/>
                <w:szCs w:val="21"/>
              </w:rPr>
              <w:t>2</w:t>
            </w:r>
            <w:r w:rsidR="00A21756">
              <w:rPr>
                <w:rFonts w:ascii="Arial" w:hAnsi="Arial" w:cs="Arial"/>
                <w:color w:val="000000"/>
                <w:sz w:val="21"/>
                <w:szCs w:val="21"/>
              </w:rPr>
              <w:t>5,3</w:t>
            </w:r>
          </w:p>
        </w:tc>
        <w:tc>
          <w:tcPr>
            <w:tcW w:w="1780" w:type="dxa"/>
            <w:tcBorders>
              <w:top w:val="nil"/>
              <w:left w:val="nil"/>
              <w:bottom w:val="nil"/>
              <w:right w:val="nil"/>
            </w:tcBorders>
            <w:shd w:val="clear" w:color="auto" w:fill="auto"/>
            <w:noWrap/>
            <w:hideMark/>
          </w:tcPr>
          <w:p w14:paraId="1BA38132" w14:textId="726AE362" w:rsidR="000B15D9" w:rsidRPr="000B15D9" w:rsidRDefault="00A21756">
            <w:pPr>
              <w:jc w:val="right"/>
              <w:rPr>
                <w:rFonts w:ascii="Arial" w:hAnsi="Arial" w:cs="Arial"/>
                <w:color w:val="000000"/>
                <w:sz w:val="21"/>
                <w:szCs w:val="21"/>
              </w:rPr>
            </w:pPr>
            <w:r>
              <w:rPr>
                <w:rFonts w:ascii="Arial" w:hAnsi="Arial" w:cs="Arial"/>
                <w:color w:val="000000"/>
                <w:sz w:val="21"/>
                <w:szCs w:val="21"/>
              </w:rPr>
              <w:t>24,8</w:t>
            </w:r>
          </w:p>
        </w:tc>
        <w:tc>
          <w:tcPr>
            <w:tcW w:w="1440" w:type="dxa"/>
            <w:tcBorders>
              <w:top w:val="nil"/>
              <w:left w:val="nil"/>
              <w:bottom w:val="nil"/>
              <w:right w:val="nil"/>
            </w:tcBorders>
            <w:shd w:val="clear" w:color="auto" w:fill="auto"/>
            <w:noWrap/>
            <w:hideMark/>
          </w:tcPr>
          <w:p w14:paraId="6AA01B60" w14:textId="73043350" w:rsidR="000B15D9" w:rsidRPr="000B15D9" w:rsidRDefault="00A21756">
            <w:pPr>
              <w:jc w:val="right"/>
              <w:rPr>
                <w:rFonts w:ascii="Arial" w:hAnsi="Arial" w:cs="Arial"/>
                <w:color w:val="000000"/>
                <w:sz w:val="21"/>
                <w:szCs w:val="21"/>
              </w:rPr>
            </w:pPr>
            <w:r>
              <w:rPr>
                <w:rFonts w:ascii="Arial" w:hAnsi="Arial" w:cs="Arial"/>
                <w:color w:val="000000"/>
                <w:sz w:val="21"/>
                <w:szCs w:val="21"/>
              </w:rPr>
              <w:t>25,9</w:t>
            </w:r>
          </w:p>
        </w:tc>
      </w:tr>
      <w:tr w:rsidR="000B15D9" w14:paraId="28555086" w14:textId="77777777" w:rsidTr="00D8171C">
        <w:trPr>
          <w:trHeight w:hRule="exact" w:val="288"/>
          <w:jc w:val="center"/>
        </w:trPr>
        <w:tc>
          <w:tcPr>
            <w:tcW w:w="2340" w:type="dxa"/>
            <w:tcBorders>
              <w:top w:val="nil"/>
              <w:left w:val="nil"/>
              <w:bottom w:val="nil"/>
              <w:right w:val="nil"/>
            </w:tcBorders>
            <w:shd w:val="clear" w:color="auto" w:fill="auto"/>
            <w:hideMark/>
          </w:tcPr>
          <w:p w14:paraId="136D710E" w14:textId="77777777" w:rsidR="000B15D9" w:rsidRPr="000B15D9" w:rsidRDefault="000B15D9" w:rsidP="000B15D9">
            <w:pPr>
              <w:rPr>
                <w:rFonts w:ascii="Arial" w:hAnsi="Arial" w:cs="Arial"/>
                <w:color w:val="000000"/>
                <w:sz w:val="21"/>
                <w:szCs w:val="21"/>
              </w:rPr>
            </w:pPr>
            <w:r w:rsidRPr="000B15D9">
              <w:rPr>
                <w:rFonts w:ascii="Arial" w:hAnsi="Arial" w:cs="Arial"/>
                <w:color w:val="000000"/>
                <w:sz w:val="21"/>
                <w:szCs w:val="21"/>
              </w:rPr>
              <w:t xml:space="preserve">PPP </w:t>
            </w:r>
            <w:proofErr w:type="spellStart"/>
            <w:r w:rsidRPr="000B15D9">
              <w:rPr>
                <w:rFonts w:ascii="Arial" w:hAnsi="Arial" w:cs="Arial"/>
                <w:color w:val="000000"/>
                <w:sz w:val="21"/>
                <w:szCs w:val="21"/>
              </w:rPr>
              <w:t>celodnevni</w:t>
            </w:r>
            <w:proofErr w:type="spellEnd"/>
            <w:r w:rsidRPr="000B15D9">
              <w:rPr>
                <w:rFonts w:ascii="Arial" w:hAnsi="Arial" w:cs="Arial"/>
                <w:color w:val="000000"/>
                <w:sz w:val="21"/>
                <w:szCs w:val="21"/>
              </w:rPr>
              <w:t xml:space="preserve"> </w:t>
            </w:r>
            <w:proofErr w:type="spellStart"/>
            <w:r w:rsidRPr="000B15D9">
              <w:rPr>
                <w:rFonts w:ascii="Arial" w:hAnsi="Arial" w:cs="Arial"/>
                <w:color w:val="000000"/>
                <w:sz w:val="21"/>
                <w:szCs w:val="21"/>
              </w:rPr>
              <w:t>boravak</w:t>
            </w:r>
            <w:proofErr w:type="spellEnd"/>
          </w:p>
        </w:tc>
        <w:tc>
          <w:tcPr>
            <w:tcW w:w="2090" w:type="dxa"/>
            <w:tcBorders>
              <w:top w:val="nil"/>
              <w:left w:val="nil"/>
              <w:bottom w:val="single" w:sz="4" w:space="0" w:color="auto"/>
              <w:right w:val="nil"/>
            </w:tcBorders>
            <w:shd w:val="clear" w:color="auto" w:fill="auto"/>
            <w:noWrap/>
            <w:hideMark/>
          </w:tcPr>
          <w:p w14:paraId="6896E745" w14:textId="16D240EE" w:rsidR="000B15D9" w:rsidRPr="000B15D9" w:rsidRDefault="009A5949" w:rsidP="000B15D9">
            <w:pPr>
              <w:jc w:val="right"/>
              <w:rPr>
                <w:rFonts w:ascii="Arial" w:hAnsi="Arial" w:cs="Arial"/>
                <w:color w:val="000000"/>
                <w:sz w:val="21"/>
                <w:szCs w:val="21"/>
              </w:rPr>
            </w:pPr>
            <w:r>
              <w:rPr>
                <w:rFonts w:ascii="Arial" w:hAnsi="Arial" w:cs="Arial"/>
                <w:color w:val="000000"/>
                <w:sz w:val="21"/>
                <w:szCs w:val="21"/>
              </w:rPr>
              <w:t>1</w:t>
            </w:r>
            <w:r w:rsidR="00A21756">
              <w:rPr>
                <w:rFonts w:ascii="Arial" w:hAnsi="Arial" w:cs="Arial"/>
                <w:color w:val="000000"/>
                <w:sz w:val="21"/>
                <w:szCs w:val="21"/>
              </w:rPr>
              <w:t>2,</w:t>
            </w:r>
            <w:r>
              <w:rPr>
                <w:rFonts w:ascii="Arial" w:hAnsi="Arial" w:cs="Arial"/>
                <w:color w:val="000000"/>
                <w:sz w:val="21"/>
                <w:szCs w:val="21"/>
              </w:rPr>
              <w:t>3</w:t>
            </w:r>
          </w:p>
        </w:tc>
        <w:tc>
          <w:tcPr>
            <w:tcW w:w="1780" w:type="dxa"/>
            <w:tcBorders>
              <w:top w:val="nil"/>
              <w:left w:val="nil"/>
              <w:bottom w:val="single" w:sz="4" w:space="0" w:color="auto"/>
              <w:right w:val="nil"/>
            </w:tcBorders>
            <w:shd w:val="clear" w:color="auto" w:fill="auto"/>
            <w:noWrap/>
            <w:hideMark/>
          </w:tcPr>
          <w:p w14:paraId="00334352" w14:textId="0FF2DA32" w:rsidR="000B15D9" w:rsidRPr="000B15D9" w:rsidRDefault="00A21756">
            <w:pPr>
              <w:jc w:val="right"/>
              <w:rPr>
                <w:rFonts w:ascii="Arial" w:hAnsi="Arial" w:cs="Arial"/>
                <w:color w:val="000000"/>
                <w:sz w:val="21"/>
                <w:szCs w:val="21"/>
              </w:rPr>
            </w:pPr>
            <w:r>
              <w:rPr>
                <w:rFonts w:ascii="Arial" w:hAnsi="Arial" w:cs="Arial"/>
                <w:color w:val="000000"/>
                <w:sz w:val="21"/>
                <w:szCs w:val="21"/>
              </w:rPr>
              <w:t>20,</w:t>
            </w:r>
            <w:r w:rsidR="009A5949">
              <w:rPr>
                <w:rFonts w:ascii="Arial" w:hAnsi="Arial" w:cs="Arial"/>
                <w:color w:val="000000"/>
                <w:sz w:val="21"/>
                <w:szCs w:val="21"/>
              </w:rPr>
              <w:t>2</w:t>
            </w:r>
          </w:p>
        </w:tc>
        <w:tc>
          <w:tcPr>
            <w:tcW w:w="1440" w:type="dxa"/>
            <w:tcBorders>
              <w:top w:val="nil"/>
              <w:left w:val="nil"/>
              <w:bottom w:val="single" w:sz="4" w:space="0" w:color="auto"/>
              <w:right w:val="nil"/>
            </w:tcBorders>
            <w:shd w:val="clear" w:color="auto" w:fill="auto"/>
            <w:noWrap/>
            <w:hideMark/>
          </w:tcPr>
          <w:p w14:paraId="49AA60ED" w14:textId="3C330519" w:rsidR="000B15D9" w:rsidRPr="000B15D9" w:rsidRDefault="009A5949">
            <w:pPr>
              <w:jc w:val="right"/>
              <w:rPr>
                <w:rFonts w:ascii="Arial" w:hAnsi="Arial" w:cs="Arial"/>
                <w:color w:val="000000"/>
                <w:sz w:val="21"/>
                <w:szCs w:val="21"/>
              </w:rPr>
            </w:pPr>
            <w:r>
              <w:rPr>
                <w:rFonts w:ascii="Arial" w:hAnsi="Arial" w:cs="Arial"/>
                <w:color w:val="000000"/>
                <w:sz w:val="21"/>
                <w:szCs w:val="21"/>
              </w:rPr>
              <w:t>16</w:t>
            </w:r>
            <w:r w:rsidR="00A21756">
              <w:rPr>
                <w:rFonts w:ascii="Arial" w:hAnsi="Arial" w:cs="Arial"/>
                <w:color w:val="000000"/>
                <w:sz w:val="21"/>
                <w:szCs w:val="21"/>
              </w:rPr>
              <w:t>,5</w:t>
            </w:r>
          </w:p>
        </w:tc>
      </w:tr>
      <w:tr w:rsidR="000B15D9" w14:paraId="60DB4DBA" w14:textId="77777777" w:rsidTr="00D8171C">
        <w:trPr>
          <w:trHeight w:hRule="exact" w:val="288"/>
          <w:jc w:val="center"/>
        </w:trPr>
        <w:tc>
          <w:tcPr>
            <w:tcW w:w="2340" w:type="dxa"/>
            <w:tcBorders>
              <w:top w:val="single" w:sz="4" w:space="0" w:color="auto"/>
              <w:left w:val="nil"/>
              <w:bottom w:val="single" w:sz="8" w:space="0" w:color="78A0D0"/>
              <w:right w:val="nil"/>
            </w:tcBorders>
            <w:shd w:val="clear" w:color="auto" w:fill="auto"/>
            <w:noWrap/>
            <w:hideMark/>
          </w:tcPr>
          <w:p w14:paraId="6BFEE02C" w14:textId="77777777" w:rsidR="000B15D9" w:rsidRPr="000B15D9" w:rsidRDefault="000B15D9" w:rsidP="000B15D9">
            <w:pPr>
              <w:rPr>
                <w:rFonts w:ascii="Arial" w:hAnsi="Arial" w:cs="Arial"/>
                <w:color w:val="000000"/>
                <w:sz w:val="21"/>
                <w:szCs w:val="21"/>
              </w:rPr>
            </w:pPr>
            <w:proofErr w:type="spellStart"/>
            <w:r w:rsidRPr="000B15D9">
              <w:rPr>
                <w:rFonts w:ascii="Arial" w:hAnsi="Arial" w:cs="Arial"/>
                <w:color w:val="000000"/>
                <w:sz w:val="21"/>
                <w:szCs w:val="21"/>
              </w:rPr>
              <w:t>Ukupno</w:t>
            </w:r>
            <w:proofErr w:type="spellEnd"/>
          </w:p>
        </w:tc>
        <w:tc>
          <w:tcPr>
            <w:tcW w:w="2090" w:type="dxa"/>
            <w:tcBorders>
              <w:top w:val="nil"/>
              <w:left w:val="nil"/>
              <w:bottom w:val="single" w:sz="8" w:space="0" w:color="78A0D0"/>
              <w:right w:val="nil"/>
            </w:tcBorders>
            <w:shd w:val="clear" w:color="auto" w:fill="auto"/>
            <w:noWrap/>
            <w:hideMark/>
          </w:tcPr>
          <w:p w14:paraId="2BEADA5E" w14:textId="77777777" w:rsidR="000B15D9" w:rsidRPr="000B15D9" w:rsidRDefault="000B15D9" w:rsidP="000B15D9">
            <w:pPr>
              <w:jc w:val="right"/>
              <w:rPr>
                <w:rFonts w:ascii="Arial" w:hAnsi="Arial" w:cs="Arial"/>
                <w:color w:val="000000"/>
                <w:sz w:val="21"/>
                <w:szCs w:val="21"/>
              </w:rPr>
            </w:pPr>
            <w:r w:rsidRPr="000B15D9">
              <w:rPr>
                <w:rFonts w:ascii="Arial" w:hAnsi="Arial" w:cs="Arial"/>
                <w:color w:val="000000"/>
                <w:sz w:val="21"/>
                <w:szCs w:val="21"/>
              </w:rPr>
              <w:t>100</w:t>
            </w:r>
          </w:p>
        </w:tc>
        <w:tc>
          <w:tcPr>
            <w:tcW w:w="1780" w:type="dxa"/>
            <w:tcBorders>
              <w:top w:val="nil"/>
              <w:left w:val="nil"/>
              <w:bottom w:val="single" w:sz="8" w:space="0" w:color="78A0D0"/>
              <w:right w:val="nil"/>
            </w:tcBorders>
            <w:shd w:val="clear" w:color="auto" w:fill="auto"/>
            <w:noWrap/>
            <w:hideMark/>
          </w:tcPr>
          <w:p w14:paraId="6BC80EA7" w14:textId="77777777" w:rsidR="000B15D9" w:rsidRPr="000B15D9" w:rsidRDefault="000B15D9">
            <w:pPr>
              <w:jc w:val="right"/>
              <w:rPr>
                <w:rFonts w:ascii="Arial" w:hAnsi="Arial" w:cs="Arial"/>
                <w:color w:val="000000"/>
                <w:sz w:val="21"/>
                <w:szCs w:val="21"/>
              </w:rPr>
            </w:pPr>
            <w:r w:rsidRPr="000B15D9">
              <w:rPr>
                <w:rFonts w:ascii="Arial" w:hAnsi="Arial" w:cs="Arial"/>
                <w:color w:val="000000"/>
                <w:sz w:val="21"/>
                <w:szCs w:val="21"/>
              </w:rPr>
              <w:t>100</w:t>
            </w:r>
          </w:p>
        </w:tc>
        <w:tc>
          <w:tcPr>
            <w:tcW w:w="1440" w:type="dxa"/>
            <w:tcBorders>
              <w:top w:val="nil"/>
              <w:left w:val="nil"/>
              <w:bottom w:val="single" w:sz="8" w:space="0" w:color="78A0D0"/>
              <w:right w:val="nil"/>
            </w:tcBorders>
            <w:shd w:val="clear" w:color="auto" w:fill="auto"/>
            <w:noWrap/>
            <w:hideMark/>
          </w:tcPr>
          <w:p w14:paraId="74E719F2" w14:textId="77777777" w:rsidR="000B15D9" w:rsidRPr="000B15D9" w:rsidRDefault="000B15D9">
            <w:pPr>
              <w:jc w:val="right"/>
              <w:rPr>
                <w:rFonts w:ascii="Arial" w:hAnsi="Arial" w:cs="Arial"/>
                <w:color w:val="000000"/>
                <w:sz w:val="21"/>
                <w:szCs w:val="21"/>
              </w:rPr>
            </w:pPr>
            <w:r w:rsidRPr="000B15D9">
              <w:rPr>
                <w:rFonts w:ascii="Arial" w:hAnsi="Arial" w:cs="Arial"/>
                <w:color w:val="000000"/>
                <w:sz w:val="21"/>
                <w:szCs w:val="21"/>
              </w:rPr>
              <w:t>100</w:t>
            </w:r>
          </w:p>
        </w:tc>
      </w:tr>
    </w:tbl>
    <w:p w14:paraId="53BA00F3" w14:textId="07875745" w:rsidR="00DB5D24" w:rsidRPr="003130B7" w:rsidRDefault="00DB5D24" w:rsidP="00DB5D24">
      <w:pPr>
        <w:rPr>
          <w:rFonts w:asciiTheme="minorHAnsi" w:hAnsiTheme="minorHAnsi"/>
          <w:b/>
          <w:i/>
          <w:sz w:val="2"/>
          <w:szCs w:val="2"/>
        </w:rPr>
      </w:pPr>
    </w:p>
    <w:p w14:paraId="21C33C40" w14:textId="20E4C12C" w:rsidR="00DB5D24" w:rsidRPr="002D6D78" w:rsidRDefault="003130B7" w:rsidP="003130B7">
      <w:pPr>
        <w:rPr>
          <w:rFonts w:asciiTheme="minorHAnsi" w:hAnsiTheme="minorHAnsi"/>
          <w:sz w:val="18"/>
          <w:szCs w:val="18"/>
        </w:rPr>
      </w:pPr>
      <w:r>
        <w:rPr>
          <w:rFonts w:asciiTheme="minorHAnsi" w:hAnsiTheme="minorHAnsi"/>
          <w:sz w:val="18"/>
          <w:szCs w:val="18"/>
        </w:rPr>
        <w:t xml:space="preserve">                     </w:t>
      </w:r>
      <w:proofErr w:type="spellStart"/>
      <w:r w:rsidR="00DB5D24" w:rsidRPr="002D6D78">
        <w:rPr>
          <w:rFonts w:asciiTheme="minorHAnsi" w:hAnsiTheme="minorHAnsi"/>
          <w:sz w:val="18"/>
          <w:szCs w:val="18"/>
        </w:rPr>
        <w:t>Izvor</w:t>
      </w:r>
      <w:proofErr w:type="spellEnd"/>
      <w:r w:rsidR="00DB5D24" w:rsidRPr="002D6D78">
        <w:rPr>
          <w:rFonts w:asciiTheme="minorHAnsi" w:hAnsiTheme="minorHAnsi"/>
          <w:sz w:val="18"/>
          <w:szCs w:val="18"/>
        </w:rPr>
        <w:t xml:space="preserve">: </w:t>
      </w:r>
      <w:proofErr w:type="spellStart"/>
      <w:r w:rsidR="00DB5D24" w:rsidRPr="002D6D78">
        <w:rPr>
          <w:rFonts w:asciiTheme="minorHAnsi" w:hAnsiTheme="minorHAnsi"/>
          <w:sz w:val="18"/>
          <w:szCs w:val="18"/>
        </w:rPr>
        <w:t>Devinfo</w:t>
      </w:r>
      <w:proofErr w:type="spellEnd"/>
      <w:r w:rsidR="00DB5D24" w:rsidRPr="002D6D78">
        <w:rPr>
          <w:rFonts w:asciiTheme="minorHAnsi" w:hAnsiTheme="minorHAnsi"/>
          <w:sz w:val="18"/>
          <w:szCs w:val="18"/>
        </w:rPr>
        <w:t xml:space="preserve"> – </w:t>
      </w:r>
      <w:proofErr w:type="spellStart"/>
      <w:r w:rsidR="00DB5D24" w:rsidRPr="002D6D78">
        <w:rPr>
          <w:rFonts w:asciiTheme="minorHAnsi" w:hAnsiTheme="minorHAnsi"/>
          <w:sz w:val="18"/>
          <w:szCs w:val="18"/>
        </w:rPr>
        <w:t>profili</w:t>
      </w:r>
      <w:proofErr w:type="spellEnd"/>
      <w:r w:rsidR="00DB5D24" w:rsidRPr="002D6D78">
        <w:rPr>
          <w:rFonts w:asciiTheme="minorHAnsi" w:hAnsiTheme="minorHAnsi"/>
          <w:sz w:val="18"/>
          <w:szCs w:val="18"/>
        </w:rPr>
        <w:t xml:space="preserve"> </w:t>
      </w:r>
      <w:proofErr w:type="spellStart"/>
      <w:r w:rsidR="00DB5D24" w:rsidRPr="002D6D78">
        <w:rPr>
          <w:rFonts w:asciiTheme="minorHAnsi" w:hAnsiTheme="minorHAnsi"/>
          <w:sz w:val="18"/>
          <w:szCs w:val="18"/>
        </w:rPr>
        <w:t>opština</w:t>
      </w:r>
      <w:proofErr w:type="spellEnd"/>
      <w:r w:rsidR="00DB5D24" w:rsidRPr="002D6D78">
        <w:rPr>
          <w:rFonts w:asciiTheme="minorHAnsi" w:hAnsiTheme="minorHAnsi"/>
          <w:sz w:val="18"/>
          <w:szCs w:val="18"/>
        </w:rPr>
        <w:t xml:space="preserve"> (</w:t>
      </w:r>
      <w:proofErr w:type="spellStart"/>
      <w:r w:rsidR="00DB5D24" w:rsidRPr="002D6D78">
        <w:rPr>
          <w:rFonts w:asciiTheme="minorHAnsi" w:hAnsiTheme="minorHAnsi"/>
          <w:sz w:val="18"/>
          <w:szCs w:val="18"/>
        </w:rPr>
        <w:t>primarni</w:t>
      </w:r>
      <w:proofErr w:type="spellEnd"/>
      <w:r w:rsidR="00DB5D24" w:rsidRPr="002D6D78">
        <w:rPr>
          <w:rFonts w:asciiTheme="minorHAnsi" w:hAnsiTheme="minorHAnsi"/>
          <w:sz w:val="18"/>
          <w:szCs w:val="18"/>
        </w:rPr>
        <w:t xml:space="preserve"> </w:t>
      </w:r>
      <w:proofErr w:type="spellStart"/>
      <w:r w:rsidR="00DB5D24" w:rsidRPr="002D6D78">
        <w:rPr>
          <w:rFonts w:asciiTheme="minorHAnsi" w:hAnsiTheme="minorHAnsi"/>
          <w:sz w:val="18"/>
          <w:szCs w:val="18"/>
        </w:rPr>
        <w:t>izvor</w:t>
      </w:r>
      <w:proofErr w:type="spellEnd"/>
      <w:r w:rsidR="00DB5D24" w:rsidRPr="002D6D78">
        <w:rPr>
          <w:rFonts w:asciiTheme="minorHAnsi" w:hAnsiTheme="minorHAnsi"/>
          <w:sz w:val="18"/>
          <w:szCs w:val="18"/>
        </w:rPr>
        <w:t xml:space="preserve"> </w:t>
      </w:r>
      <w:proofErr w:type="spellStart"/>
      <w:r w:rsidR="00DB5D24" w:rsidRPr="002D6D78">
        <w:rPr>
          <w:rFonts w:asciiTheme="minorHAnsi" w:hAnsiTheme="minorHAnsi"/>
          <w:sz w:val="18"/>
          <w:szCs w:val="18"/>
        </w:rPr>
        <w:t>Statistika</w:t>
      </w:r>
      <w:proofErr w:type="spellEnd"/>
      <w:r w:rsidR="00DB5D24" w:rsidRPr="002D6D78">
        <w:rPr>
          <w:rFonts w:asciiTheme="minorHAnsi" w:hAnsiTheme="minorHAnsi"/>
          <w:sz w:val="18"/>
          <w:szCs w:val="18"/>
        </w:rPr>
        <w:t xml:space="preserve"> </w:t>
      </w:r>
      <w:proofErr w:type="spellStart"/>
      <w:r w:rsidR="00DB5D24" w:rsidRPr="002D6D78">
        <w:rPr>
          <w:rFonts w:asciiTheme="minorHAnsi" w:hAnsiTheme="minorHAnsi"/>
          <w:sz w:val="18"/>
          <w:szCs w:val="18"/>
        </w:rPr>
        <w:t>obrazovanja</w:t>
      </w:r>
      <w:proofErr w:type="spellEnd"/>
      <w:r w:rsidR="00DB5D24" w:rsidRPr="002D6D78">
        <w:rPr>
          <w:rFonts w:asciiTheme="minorHAnsi" w:hAnsiTheme="minorHAnsi"/>
          <w:sz w:val="18"/>
          <w:szCs w:val="18"/>
        </w:rPr>
        <w:t xml:space="preserve"> RZS)</w:t>
      </w:r>
    </w:p>
    <w:p w14:paraId="59EB3226" w14:textId="77777777" w:rsidR="00DB5D24" w:rsidRPr="002D6D78" w:rsidRDefault="00DB5D24" w:rsidP="00DB5D24">
      <w:pPr>
        <w:rPr>
          <w:rFonts w:asciiTheme="minorHAnsi" w:hAnsiTheme="minorHAnsi"/>
          <w:b/>
          <w:i/>
          <w:sz w:val="22"/>
          <w:szCs w:val="22"/>
        </w:rPr>
      </w:pPr>
    </w:p>
    <w:p w14:paraId="263E4BF5" w14:textId="393B26DD" w:rsidR="00DB5D24" w:rsidRDefault="00A21756" w:rsidP="00A21756">
      <w:pPr>
        <w:jc w:val="both"/>
        <w:rPr>
          <w:rFonts w:asciiTheme="minorHAnsi" w:hAnsiTheme="minorHAnsi"/>
          <w:b/>
          <w:sz w:val="22"/>
          <w:szCs w:val="22"/>
        </w:rPr>
      </w:pPr>
      <w:proofErr w:type="spellStart"/>
      <w:r>
        <w:rPr>
          <w:rFonts w:asciiTheme="minorHAnsi" w:hAnsiTheme="minorHAnsi"/>
          <w:b/>
          <w:i/>
          <w:sz w:val="22"/>
          <w:szCs w:val="22"/>
        </w:rPr>
        <w:t>Učešće</w:t>
      </w:r>
      <w:proofErr w:type="spellEnd"/>
      <w:r>
        <w:rPr>
          <w:rFonts w:asciiTheme="minorHAnsi" w:hAnsiTheme="minorHAnsi"/>
          <w:b/>
          <w:i/>
          <w:sz w:val="22"/>
          <w:szCs w:val="22"/>
        </w:rPr>
        <w:t xml:space="preserve"> </w:t>
      </w:r>
      <w:proofErr w:type="spellStart"/>
      <w:r>
        <w:rPr>
          <w:rFonts w:asciiTheme="minorHAnsi" w:hAnsiTheme="minorHAnsi"/>
          <w:b/>
          <w:i/>
          <w:sz w:val="22"/>
          <w:szCs w:val="22"/>
        </w:rPr>
        <w:t>roditelja</w:t>
      </w:r>
      <w:proofErr w:type="spellEnd"/>
      <w:r>
        <w:rPr>
          <w:rFonts w:asciiTheme="minorHAnsi" w:hAnsiTheme="minorHAnsi"/>
          <w:b/>
          <w:i/>
          <w:sz w:val="22"/>
          <w:szCs w:val="22"/>
        </w:rPr>
        <w:t xml:space="preserve"> koji </w:t>
      </w:r>
      <w:proofErr w:type="spellStart"/>
      <w:r>
        <w:rPr>
          <w:rFonts w:asciiTheme="minorHAnsi" w:hAnsiTheme="minorHAnsi"/>
          <w:b/>
          <w:i/>
          <w:sz w:val="22"/>
          <w:szCs w:val="22"/>
        </w:rPr>
        <w:t>plaća</w:t>
      </w:r>
      <w:proofErr w:type="spellEnd"/>
      <w:r>
        <w:rPr>
          <w:rFonts w:asciiTheme="minorHAnsi" w:hAnsiTheme="minorHAnsi"/>
          <w:b/>
          <w:i/>
          <w:sz w:val="22"/>
          <w:szCs w:val="22"/>
        </w:rPr>
        <w:t xml:space="preserve"> pun </w:t>
      </w:r>
      <w:proofErr w:type="spellStart"/>
      <w:r>
        <w:rPr>
          <w:rFonts w:asciiTheme="minorHAnsi" w:hAnsiTheme="minorHAnsi"/>
          <w:b/>
          <w:i/>
          <w:sz w:val="22"/>
          <w:szCs w:val="22"/>
        </w:rPr>
        <w:t>iznos</w:t>
      </w:r>
      <w:proofErr w:type="spellEnd"/>
      <w:r>
        <w:rPr>
          <w:rFonts w:asciiTheme="minorHAnsi" w:hAnsiTheme="minorHAnsi"/>
          <w:b/>
          <w:i/>
          <w:sz w:val="22"/>
          <w:szCs w:val="22"/>
        </w:rPr>
        <w:t xml:space="preserve"> </w:t>
      </w:r>
      <w:proofErr w:type="spellStart"/>
      <w:r>
        <w:rPr>
          <w:rFonts w:asciiTheme="minorHAnsi" w:hAnsiTheme="minorHAnsi"/>
          <w:b/>
          <w:i/>
          <w:sz w:val="22"/>
          <w:szCs w:val="22"/>
        </w:rPr>
        <w:t>participacije</w:t>
      </w:r>
      <w:proofErr w:type="spellEnd"/>
      <w:r>
        <w:rPr>
          <w:rFonts w:asciiTheme="minorHAnsi" w:hAnsiTheme="minorHAnsi"/>
          <w:b/>
          <w:i/>
          <w:sz w:val="22"/>
          <w:szCs w:val="22"/>
        </w:rPr>
        <w:t xml:space="preserve"> u </w:t>
      </w:r>
      <w:proofErr w:type="spellStart"/>
      <w:r>
        <w:rPr>
          <w:rFonts w:asciiTheme="minorHAnsi" w:hAnsiTheme="minorHAnsi"/>
          <w:b/>
          <w:i/>
          <w:sz w:val="22"/>
          <w:szCs w:val="22"/>
        </w:rPr>
        <w:t>ceni</w:t>
      </w:r>
      <w:proofErr w:type="spellEnd"/>
      <w:r>
        <w:rPr>
          <w:rFonts w:asciiTheme="minorHAnsi" w:hAnsiTheme="minorHAnsi"/>
          <w:b/>
          <w:i/>
          <w:sz w:val="22"/>
          <w:szCs w:val="22"/>
        </w:rPr>
        <w:t xml:space="preserve"> PVO se </w:t>
      </w:r>
      <w:proofErr w:type="spellStart"/>
      <w:r>
        <w:rPr>
          <w:rFonts w:asciiTheme="minorHAnsi" w:hAnsiTheme="minorHAnsi"/>
          <w:b/>
          <w:i/>
          <w:sz w:val="22"/>
          <w:szCs w:val="22"/>
        </w:rPr>
        <w:t>značajno</w:t>
      </w:r>
      <w:proofErr w:type="spellEnd"/>
      <w:r>
        <w:rPr>
          <w:rFonts w:asciiTheme="minorHAnsi" w:hAnsiTheme="minorHAnsi"/>
          <w:b/>
          <w:i/>
          <w:sz w:val="22"/>
          <w:szCs w:val="22"/>
        </w:rPr>
        <w:t xml:space="preserve"> </w:t>
      </w:r>
      <w:proofErr w:type="spellStart"/>
      <w:r>
        <w:rPr>
          <w:rFonts w:asciiTheme="minorHAnsi" w:hAnsiTheme="minorHAnsi"/>
          <w:b/>
          <w:i/>
          <w:sz w:val="22"/>
          <w:szCs w:val="22"/>
        </w:rPr>
        <w:t>poveća</w:t>
      </w:r>
      <w:r w:rsidR="00595310">
        <w:rPr>
          <w:rFonts w:asciiTheme="minorHAnsi" w:hAnsiTheme="minorHAnsi"/>
          <w:b/>
          <w:i/>
          <w:sz w:val="22"/>
          <w:szCs w:val="22"/>
        </w:rPr>
        <w:t>l</w:t>
      </w:r>
      <w:r>
        <w:rPr>
          <w:rFonts w:asciiTheme="minorHAnsi" w:hAnsiTheme="minorHAnsi"/>
          <w:b/>
          <w:i/>
          <w:sz w:val="22"/>
          <w:szCs w:val="22"/>
        </w:rPr>
        <w:t>o</w:t>
      </w:r>
      <w:proofErr w:type="spellEnd"/>
      <w:r w:rsidR="008E333C">
        <w:rPr>
          <w:rFonts w:asciiTheme="minorHAnsi" w:hAnsiTheme="minorHAnsi"/>
          <w:b/>
          <w:i/>
          <w:sz w:val="22"/>
          <w:szCs w:val="22"/>
        </w:rPr>
        <w:t xml:space="preserve">. </w:t>
      </w:r>
      <w:r>
        <w:rPr>
          <w:rFonts w:asciiTheme="minorHAnsi" w:hAnsiTheme="minorHAnsi"/>
          <w:sz w:val="22"/>
          <w:szCs w:val="22"/>
        </w:rPr>
        <w:t>U</w:t>
      </w:r>
      <w:r w:rsidR="008E333C">
        <w:rPr>
          <w:rFonts w:asciiTheme="minorHAnsi" w:hAnsiTheme="minorHAnsi"/>
          <w:sz w:val="22"/>
          <w:szCs w:val="22"/>
        </w:rPr>
        <w:t xml:space="preserve"> 201</w:t>
      </w:r>
      <w:r>
        <w:rPr>
          <w:rFonts w:asciiTheme="minorHAnsi" w:hAnsiTheme="minorHAnsi"/>
          <w:sz w:val="22"/>
          <w:szCs w:val="22"/>
        </w:rPr>
        <w:t>7.</w:t>
      </w:r>
      <w:r w:rsidR="008E333C">
        <w:rPr>
          <w:rFonts w:asciiTheme="minorHAnsi" w:hAnsiTheme="minorHAnsi"/>
          <w:sz w:val="22"/>
          <w:szCs w:val="22"/>
        </w:rPr>
        <w:t xml:space="preserve"> </w:t>
      </w:r>
      <w:proofErr w:type="spellStart"/>
      <w:r w:rsidR="008E333C">
        <w:rPr>
          <w:rFonts w:asciiTheme="minorHAnsi" w:hAnsiTheme="minorHAnsi"/>
          <w:sz w:val="22"/>
          <w:szCs w:val="22"/>
        </w:rPr>
        <w:t>godin</w:t>
      </w:r>
      <w:r>
        <w:rPr>
          <w:rFonts w:asciiTheme="minorHAnsi" w:hAnsiTheme="minorHAnsi"/>
          <w:sz w:val="22"/>
          <w:szCs w:val="22"/>
        </w:rPr>
        <w:t>i</w:t>
      </w:r>
      <w:proofErr w:type="spellEnd"/>
      <w:r w:rsidR="008E333C">
        <w:rPr>
          <w:rFonts w:asciiTheme="minorHAnsi" w:hAnsiTheme="minorHAnsi"/>
          <w:sz w:val="22"/>
          <w:szCs w:val="22"/>
        </w:rPr>
        <w:t xml:space="preserve"> </w:t>
      </w:r>
      <w:proofErr w:type="spellStart"/>
      <w:r w:rsidR="008E333C">
        <w:rPr>
          <w:rFonts w:asciiTheme="minorHAnsi" w:hAnsiTheme="minorHAnsi"/>
          <w:sz w:val="22"/>
          <w:szCs w:val="22"/>
        </w:rPr>
        <w:t>niko</w:t>
      </w:r>
      <w:proofErr w:type="spellEnd"/>
      <w:r w:rsidR="008E333C">
        <w:rPr>
          <w:rFonts w:asciiTheme="minorHAnsi" w:hAnsiTheme="minorHAnsi"/>
          <w:sz w:val="22"/>
          <w:szCs w:val="22"/>
        </w:rPr>
        <w:t xml:space="preserve"> od </w:t>
      </w:r>
      <w:proofErr w:type="spellStart"/>
      <w:r w:rsidR="008E333C">
        <w:rPr>
          <w:rFonts w:asciiTheme="minorHAnsi" w:hAnsiTheme="minorHAnsi"/>
          <w:sz w:val="22"/>
          <w:szCs w:val="22"/>
        </w:rPr>
        <w:t>roditelja</w:t>
      </w:r>
      <w:proofErr w:type="spellEnd"/>
      <w:r w:rsidR="008E333C">
        <w:rPr>
          <w:rFonts w:asciiTheme="minorHAnsi" w:hAnsiTheme="minorHAnsi"/>
          <w:sz w:val="22"/>
          <w:szCs w:val="22"/>
        </w:rPr>
        <w:t xml:space="preserve"> </w:t>
      </w:r>
      <w:proofErr w:type="spellStart"/>
      <w:r w:rsidR="008E333C">
        <w:rPr>
          <w:rFonts w:asciiTheme="minorHAnsi" w:hAnsiTheme="minorHAnsi"/>
          <w:sz w:val="22"/>
          <w:szCs w:val="22"/>
        </w:rPr>
        <w:t>nije</w:t>
      </w:r>
      <w:proofErr w:type="spellEnd"/>
      <w:r w:rsidR="008E333C">
        <w:rPr>
          <w:rFonts w:asciiTheme="minorHAnsi" w:hAnsiTheme="minorHAnsi"/>
          <w:sz w:val="22"/>
          <w:szCs w:val="22"/>
        </w:rPr>
        <w:t xml:space="preserve"> </w:t>
      </w:r>
      <w:proofErr w:type="spellStart"/>
      <w:r w:rsidR="008E333C">
        <w:rPr>
          <w:rFonts w:asciiTheme="minorHAnsi" w:hAnsiTheme="minorHAnsi"/>
          <w:sz w:val="22"/>
          <w:szCs w:val="22"/>
        </w:rPr>
        <w:t>plaćao</w:t>
      </w:r>
      <w:proofErr w:type="spellEnd"/>
      <w:r w:rsidR="008E333C">
        <w:rPr>
          <w:rFonts w:asciiTheme="minorHAnsi" w:hAnsiTheme="minorHAnsi"/>
          <w:sz w:val="22"/>
          <w:szCs w:val="22"/>
        </w:rPr>
        <w:t xml:space="preserve"> pun </w:t>
      </w:r>
      <w:proofErr w:type="spellStart"/>
      <w:r w:rsidR="008E333C">
        <w:rPr>
          <w:rFonts w:asciiTheme="minorHAnsi" w:hAnsiTheme="minorHAnsi"/>
          <w:sz w:val="22"/>
          <w:szCs w:val="22"/>
        </w:rPr>
        <w:t>iznos</w:t>
      </w:r>
      <w:proofErr w:type="spellEnd"/>
      <w:r w:rsidR="008E333C">
        <w:rPr>
          <w:rFonts w:asciiTheme="minorHAnsi" w:hAnsiTheme="minorHAnsi"/>
          <w:sz w:val="22"/>
          <w:szCs w:val="22"/>
        </w:rPr>
        <w:t xml:space="preserve"> </w:t>
      </w:r>
      <w:proofErr w:type="spellStart"/>
      <w:r w:rsidR="008E333C">
        <w:rPr>
          <w:rFonts w:asciiTheme="minorHAnsi" w:hAnsiTheme="minorHAnsi"/>
          <w:sz w:val="22"/>
          <w:szCs w:val="22"/>
        </w:rPr>
        <w:t>participacije</w:t>
      </w:r>
      <w:proofErr w:type="spellEnd"/>
      <w:r w:rsidR="008E333C">
        <w:rPr>
          <w:rFonts w:asciiTheme="minorHAnsi" w:hAnsiTheme="minorHAnsi"/>
          <w:sz w:val="22"/>
          <w:szCs w:val="22"/>
        </w:rPr>
        <w:t xml:space="preserve"> za PVO </w:t>
      </w:r>
      <w:proofErr w:type="spellStart"/>
      <w:r w:rsidR="008E333C">
        <w:rPr>
          <w:rFonts w:asciiTheme="minorHAnsi" w:hAnsiTheme="minorHAnsi"/>
          <w:sz w:val="22"/>
          <w:szCs w:val="22"/>
        </w:rPr>
        <w:t>već</w:t>
      </w:r>
      <w:proofErr w:type="spellEnd"/>
      <w:r w:rsidR="008E333C">
        <w:rPr>
          <w:rFonts w:asciiTheme="minorHAnsi" w:hAnsiTheme="minorHAnsi"/>
          <w:sz w:val="22"/>
          <w:szCs w:val="22"/>
        </w:rPr>
        <w:t xml:space="preserve"> </w:t>
      </w:r>
      <w:proofErr w:type="spellStart"/>
      <w:r w:rsidR="008E333C">
        <w:rPr>
          <w:rFonts w:asciiTheme="minorHAnsi" w:hAnsiTheme="minorHAnsi"/>
          <w:sz w:val="22"/>
          <w:szCs w:val="22"/>
        </w:rPr>
        <w:t>su</w:t>
      </w:r>
      <w:proofErr w:type="spellEnd"/>
      <w:r w:rsidR="008E333C">
        <w:rPr>
          <w:rFonts w:asciiTheme="minorHAnsi" w:hAnsiTheme="minorHAnsi"/>
          <w:sz w:val="22"/>
          <w:szCs w:val="22"/>
        </w:rPr>
        <w:t xml:space="preserve"> </w:t>
      </w:r>
      <w:proofErr w:type="spellStart"/>
      <w:r w:rsidR="008E333C">
        <w:rPr>
          <w:rFonts w:asciiTheme="minorHAnsi" w:hAnsiTheme="minorHAnsi"/>
          <w:sz w:val="22"/>
          <w:szCs w:val="22"/>
        </w:rPr>
        <w:t>ili</w:t>
      </w:r>
      <w:proofErr w:type="spellEnd"/>
      <w:r w:rsidR="008E333C">
        <w:rPr>
          <w:rFonts w:asciiTheme="minorHAnsi" w:hAnsiTheme="minorHAnsi"/>
          <w:sz w:val="22"/>
          <w:szCs w:val="22"/>
        </w:rPr>
        <w:t xml:space="preserve"> </w:t>
      </w:r>
      <w:proofErr w:type="spellStart"/>
      <w:r w:rsidR="008E333C">
        <w:rPr>
          <w:rFonts w:asciiTheme="minorHAnsi" w:hAnsiTheme="minorHAnsi"/>
          <w:sz w:val="22"/>
          <w:szCs w:val="22"/>
        </w:rPr>
        <w:t>bili</w:t>
      </w:r>
      <w:proofErr w:type="spellEnd"/>
      <w:r w:rsidR="008E333C">
        <w:rPr>
          <w:rFonts w:asciiTheme="minorHAnsi" w:hAnsiTheme="minorHAnsi"/>
          <w:sz w:val="22"/>
          <w:szCs w:val="22"/>
        </w:rPr>
        <w:t xml:space="preserve"> </w:t>
      </w:r>
      <w:proofErr w:type="spellStart"/>
      <w:r w:rsidR="008E333C">
        <w:rPr>
          <w:rFonts w:asciiTheme="minorHAnsi" w:hAnsiTheme="minorHAnsi"/>
          <w:sz w:val="22"/>
          <w:szCs w:val="22"/>
        </w:rPr>
        <w:t>potpuno</w:t>
      </w:r>
      <w:proofErr w:type="spellEnd"/>
      <w:r w:rsidR="008E333C">
        <w:rPr>
          <w:rFonts w:asciiTheme="minorHAnsi" w:hAnsiTheme="minorHAnsi"/>
          <w:sz w:val="22"/>
          <w:szCs w:val="22"/>
        </w:rPr>
        <w:t xml:space="preserve"> </w:t>
      </w:r>
      <w:proofErr w:type="spellStart"/>
      <w:r w:rsidR="008E333C">
        <w:rPr>
          <w:rFonts w:asciiTheme="minorHAnsi" w:hAnsiTheme="minorHAnsi"/>
          <w:sz w:val="22"/>
          <w:szCs w:val="22"/>
        </w:rPr>
        <w:t>oslobođeni</w:t>
      </w:r>
      <w:proofErr w:type="spellEnd"/>
      <w:r w:rsidR="008E333C">
        <w:rPr>
          <w:rFonts w:asciiTheme="minorHAnsi" w:hAnsiTheme="minorHAnsi"/>
          <w:sz w:val="22"/>
          <w:szCs w:val="22"/>
        </w:rPr>
        <w:t xml:space="preserve"> </w:t>
      </w:r>
      <w:proofErr w:type="spellStart"/>
      <w:r w:rsidR="008E333C">
        <w:rPr>
          <w:rFonts w:asciiTheme="minorHAnsi" w:hAnsiTheme="minorHAnsi"/>
          <w:sz w:val="22"/>
          <w:szCs w:val="22"/>
        </w:rPr>
        <w:t>plaćanja</w:t>
      </w:r>
      <w:proofErr w:type="spellEnd"/>
      <w:r w:rsidR="008E333C">
        <w:rPr>
          <w:rFonts w:asciiTheme="minorHAnsi" w:hAnsiTheme="minorHAnsi"/>
          <w:sz w:val="22"/>
          <w:szCs w:val="22"/>
        </w:rPr>
        <w:t xml:space="preserve"> </w:t>
      </w:r>
      <w:r>
        <w:rPr>
          <w:rFonts w:asciiTheme="minorHAnsi" w:hAnsiTheme="minorHAnsi"/>
          <w:sz w:val="22"/>
          <w:szCs w:val="22"/>
        </w:rPr>
        <w:t xml:space="preserve">a </w:t>
      </w:r>
      <w:proofErr w:type="spellStart"/>
      <w:r>
        <w:rPr>
          <w:rFonts w:asciiTheme="minorHAnsi" w:hAnsiTheme="minorHAnsi"/>
          <w:sz w:val="22"/>
          <w:szCs w:val="22"/>
        </w:rPr>
        <w:t>najveći</w:t>
      </w:r>
      <w:proofErr w:type="spellEnd"/>
      <w:r>
        <w:rPr>
          <w:rFonts w:asciiTheme="minorHAnsi" w:hAnsiTheme="minorHAnsi"/>
          <w:sz w:val="22"/>
          <w:szCs w:val="22"/>
        </w:rPr>
        <w:t xml:space="preserve"> deo </w:t>
      </w:r>
      <w:proofErr w:type="spellStart"/>
      <w:r>
        <w:rPr>
          <w:rFonts w:asciiTheme="minorHAnsi" w:hAnsiTheme="minorHAnsi"/>
          <w:sz w:val="22"/>
          <w:szCs w:val="22"/>
        </w:rPr>
        <w:t>njih</w:t>
      </w:r>
      <w:proofErr w:type="spellEnd"/>
      <w:r>
        <w:rPr>
          <w:rFonts w:asciiTheme="minorHAnsi" w:hAnsiTheme="minorHAnsi"/>
          <w:sz w:val="22"/>
          <w:szCs w:val="22"/>
        </w:rPr>
        <w:t xml:space="preserve"> </w:t>
      </w:r>
      <w:proofErr w:type="spellStart"/>
      <w:r>
        <w:rPr>
          <w:rFonts w:asciiTheme="minorHAnsi" w:hAnsiTheme="minorHAnsi"/>
          <w:sz w:val="22"/>
          <w:szCs w:val="22"/>
        </w:rPr>
        <w:t>su</w:t>
      </w:r>
      <w:proofErr w:type="spellEnd"/>
      <w:r w:rsidR="008E333C">
        <w:rPr>
          <w:rFonts w:asciiTheme="minorHAnsi" w:hAnsiTheme="minorHAnsi"/>
          <w:sz w:val="22"/>
          <w:szCs w:val="22"/>
        </w:rPr>
        <w:t xml:space="preserve"> </w:t>
      </w:r>
      <w:proofErr w:type="spellStart"/>
      <w:r w:rsidR="008E333C">
        <w:rPr>
          <w:rFonts w:asciiTheme="minorHAnsi" w:hAnsiTheme="minorHAnsi"/>
          <w:sz w:val="22"/>
          <w:szCs w:val="22"/>
        </w:rPr>
        <w:t>plaćali</w:t>
      </w:r>
      <w:proofErr w:type="spellEnd"/>
      <w:r w:rsidR="008E333C">
        <w:rPr>
          <w:rFonts w:asciiTheme="minorHAnsi" w:hAnsiTheme="minorHAnsi"/>
          <w:sz w:val="22"/>
          <w:szCs w:val="22"/>
        </w:rPr>
        <w:t xml:space="preserve"> </w:t>
      </w:r>
      <w:proofErr w:type="spellStart"/>
      <w:r w:rsidR="008E333C">
        <w:rPr>
          <w:rFonts w:asciiTheme="minorHAnsi" w:hAnsiTheme="minorHAnsi"/>
          <w:sz w:val="22"/>
          <w:szCs w:val="22"/>
        </w:rPr>
        <w:t>regresiranu</w:t>
      </w:r>
      <w:proofErr w:type="spellEnd"/>
      <w:r w:rsidR="008E333C">
        <w:rPr>
          <w:rFonts w:asciiTheme="minorHAnsi" w:hAnsiTheme="minorHAnsi"/>
          <w:sz w:val="22"/>
          <w:szCs w:val="22"/>
        </w:rPr>
        <w:t xml:space="preserve"> </w:t>
      </w:r>
      <w:proofErr w:type="spellStart"/>
      <w:r w:rsidR="008E333C">
        <w:rPr>
          <w:rFonts w:asciiTheme="minorHAnsi" w:hAnsiTheme="minorHAnsi"/>
          <w:sz w:val="22"/>
          <w:szCs w:val="22"/>
        </w:rPr>
        <w:t>cenu</w:t>
      </w:r>
      <w:proofErr w:type="spellEnd"/>
      <w:r w:rsidR="008E333C">
        <w:rPr>
          <w:rFonts w:asciiTheme="minorHAnsi" w:hAnsiTheme="minorHAnsi"/>
          <w:sz w:val="22"/>
          <w:szCs w:val="22"/>
        </w:rPr>
        <w:t xml:space="preserve">. </w:t>
      </w:r>
      <w:r>
        <w:rPr>
          <w:rFonts w:asciiTheme="minorHAnsi" w:hAnsiTheme="minorHAnsi"/>
          <w:sz w:val="22"/>
          <w:szCs w:val="22"/>
        </w:rPr>
        <w:t>U 2019</w:t>
      </w:r>
      <w:r w:rsidR="008E333C">
        <w:rPr>
          <w:rFonts w:asciiTheme="minorHAnsi" w:hAnsiTheme="minorHAnsi"/>
          <w:sz w:val="22"/>
          <w:szCs w:val="22"/>
        </w:rPr>
        <w:t xml:space="preserve">. </w:t>
      </w:r>
      <w:proofErr w:type="spellStart"/>
      <w:r w:rsidR="00061868">
        <w:rPr>
          <w:rFonts w:asciiTheme="minorHAnsi" w:hAnsiTheme="minorHAnsi"/>
          <w:sz w:val="22"/>
          <w:szCs w:val="22"/>
        </w:rPr>
        <w:t>g</w:t>
      </w:r>
      <w:r w:rsidR="008E333C">
        <w:rPr>
          <w:rFonts w:asciiTheme="minorHAnsi" w:hAnsiTheme="minorHAnsi"/>
          <w:sz w:val="22"/>
          <w:szCs w:val="22"/>
        </w:rPr>
        <w:t>odin</w:t>
      </w:r>
      <w:r>
        <w:rPr>
          <w:rFonts w:asciiTheme="minorHAnsi" w:hAnsiTheme="minorHAnsi"/>
          <w:sz w:val="22"/>
          <w:szCs w:val="22"/>
        </w:rPr>
        <w:t>i</w:t>
      </w:r>
      <w:proofErr w:type="spellEnd"/>
      <w:r>
        <w:rPr>
          <w:rFonts w:asciiTheme="minorHAnsi" w:hAnsiTheme="minorHAnsi"/>
          <w:sz w:val="22"/>
          <w:szCs w:val="22"/>
        </w:rPr>
        <w:t xml:space="preserve"> je </w:t>
      </w:r>
      <w:proofErr w:type="spellStart"/>
      <w:r>
        <w:rPr>
          <w:rFonts w:asciiTheme="minorHAnsi" w:hAnsiTheme="minorHAnsi"/>
          <w:sz w:val="22"/>
          <w:szCs w:val="22"/>
        </w:rPr>
        <w:t>očigledno</w:t>
      </w:r>
      <w:proofErr w:type="spellEnd"/>
      <w:r>
        <w:rPr>
          <w:rFonts w:asciiTheme="minorHAnsi" w:hAnsiTheme="minorHAnsi"/>
          <w:sz w:val="22"/>
          <w:szCs w:val="22"/>
        </w:rPr>
        <w:t xml:space="preserve"> </w:t>
      </w:r>
      <w:proofErr w:type="spellStart"/>
      <w:r>
        <w:rPr>
          <w:rFonts w:asciiTheme="minorHAnsi" w:hAnsiTheme="minorHAnsi"/>
          <w:sz w:val="22"/>
          <w:szCs w:val="22"/>
        </w:rPr>
        <w:t>ukinuta</w:t>
      </w:r>
      <w:proofErr w:type="spellEnd"/>
      <w:r>
        <w:rPr>
          <w:rFonts w:asciiTheme="minorHAnsi" w:hAnsiTheme="minorHAnsi"/>
          <w:sz w:val="22"/>
          <w:szCs w:val="22"/>
        </w:rPr>
        <w:t xml:space="preserve"> </w:t>
      </w:r>
      <w:proofErr w:type="spellStart"/>
      <w:r>
        <w:rPr>
          <w:rFonts w:asciiTheme="minorHAnsi" w:hAnsiTheme="minorHAnsi"/>
          <w:sz w:val="22"/>
          <w:szCs w:val="22"/>
        </w:rPr>
        <w:t>regresirana</w:t>
      </w:r>
      <w:proofErr w:type="spellEnd"/>
      <w:r>
        <w:rPr>
          <w:rFonts w:asciiTheme="minorHAnsi" w:hAnsiTheme="minorHAnsi"/>
          <w:sz w:val="22"/>
          <w:szCs w:val="22"/>
        </w:rPr>
        <w:t xml:space="preserve"> </w:t>
      </w:r>
      <w:proofErr w:type="spellStart"/>
      <w:r>
        <w:rPr>
          <w:rFonts w:asciiTheme="minorHAnsi" w:hAnsiTheme="minorHAnsi"/>
          <w:sz w:val="22"/>
          <w:szCs w:val="22"/>
        </w:rPr>
        <w:t>cena</w:t>
      </w:r>
      <w:proofErr w:type="spellEnd"/>
      <w:r>
        <w:rPr>
          <w:rFonts w:asciiTheme="minorHAnsi" w:hAnsiTheme="minorHAnsi"/>
          <w:sz w:val="22"/>
          <w:szCs w:val="22"/>
        </w:rPr>
        <w:t xml:space="preserve"> </w:t>
      </w:r>
      <w:proofErr w:type="spellStart"/>
      <w:r>
        <w:rPr>
          <w:rFonts w:asciiTheme="minorHAnsi" w:hAnsiTheme="minorHAnsi"/>
          <w:sz w:val="22"/>
          <w:szCs w:val="22"/>
        </w:rPr>
        <w:t>i</w:t>
      </w:r>
      <w:proofErr w:type="spellEnd"/>
      <w:r>
        <w:rPr>
          <w:rFonts w:asciiTheme="minorHAnsi" w:hAnsiTheme="minorHAnsi"/>
          <w:sz w:val="22"/>
          <w:szCs w:val="22"/>
        </w:rPr>
        <w:t xml:space="preserve"> </w:t>
      </w:r>
      <w:proofErr w:type="spellStart"/>
      <w:r>
        <w:rPr>
          <w:rFonts w:asciiTheme="minorHAnsi" w:hAnsiTheme="minorHAnsi"/>
          <w:sz w:val="22"/>
          <w:szCs w:val="22"/>
        </w:rPr>
        <w:t>čak</w:t>
      </w:r>
      <w:proofErr w:type="spellEnd"/>
      <w:r>
        <w:rPr>
          <w:rFonts w:asciiTheme="minorHAnsi" w:hAnsiTheme="minorHAnsi"/>
          <w:sz w:val="22"/>
          <w:szCs w:val="22"/>
        </w:rPr>
        <w:t xml:space="preserve"> 86%</w:t>
      </w:r>
      <w:r w:rsidR="008E333C">
        <w:rPr>
          <w:rFonts w:asciiTheme="minorHAnsi" w:hAnsiTheme="minorHAnsi"/>
          <w:sz w:val="22"/>
          <w:szCs w:val="22"/>
        </w:rPr>
        <w:t xml:space="preserve"> </w:t>
      </w:r>
      <w:proofErr w:type="spellStart"/>
      <w:r w:rsidR="008E333C">
        <w:rPr>
          <w:rFonts w:asciiTheme="minorHAnsi" w:hAnsiTheme="minorHAnsi"/>
          <w:sz w:val="22"/>
          <w:szCs w:val="22"/>
        </w:rPr>
        <w:t>roditelja</w:t>
      </w:r>
      <w:proofErr w:type="spellEnd"/>
      <w:r w:rsidR="008E333C">
        <w:rPr>
          <w:rFonts w:asciiTheme="minorHAnsi" w:hAnsiTheme="minorHAnsi"/>
          <w:sz w:val="22"/>
          <w:szCs w:val="22"/>
        </w:rPr>
        <w:t xml:space="preserve"> </w:t>
      </w:r>
      <w:proofErr w:type="spellStart"/>
      <w:r w:rsidR="008E333C">
        <w:rPr>
          <w:rFonts w:asciiTheme="minorHAnsi" w:hAnsiTheme="minorHAnsi"/>
          <w:sz w:val="22"/>
          <w:szCs w:val="22"/>
        </w:rPr>
        <w:t>plaća</w:t>
      </w:r>
      <w:proofErr w:type="spellEnd"/>
      <w:r w:rsidR="008E333C">
        <w:rPr>
          <w:rFonts w:asciiTheme="minorHAnsi" w:hAnsiTheme="minorHAnsi"/>
          <w:sz w:val="22"/>
          <w:szCs w:val="22"/>
        </w:rPr>
        <w:t xml:space="preserve"> pun </w:t>
      </w:r>
      <w:proofErr w:type="spellStart"/>
      <w:r w:rsidR="008E333C">
        <w:rPr>
          <w:rFonts w:asciiTheme="minorHAnsi" w:hAnsiTheme="minorHAnsi"/>
          <w:sz w:val="22"/>
          <w:szCs w:val="22"/>
        </w:rPr>
        <w:t>iznos</w:t>
      </w:r>
      <w:proofErr w:type="spellEnd"/>
      <w:r w:rsidR="008E333C">
        <w:rPr>
          <w:rFonts w:asciiTheme="minorHAnsi" w:hAnsiTheme="minorHAnsi"/>
          <w:sz w:val="22"/>
          <w:szCs w:val="22"/>
        </w:rPr>
        <w:t xml:space="preserve"> </w:t>
      </w:r>
      <w:proofErr w:type="spellStart"/>
      <w:r w:rsidR="008E333C">
        <w:rPr>
          <w:rFonts w:asciiTheme="minorHAnsi" w:hAnsiTheme="minorHAnsi"/>
          <w:sz w:val="22"/>
          <w:szCs w:val="22"/>
        </w:rPr>
        <w:t>participacije</w:t>
      </w:r>
      <w:proofErr w:type="spellEnd"/>
      <w:r w:rsidR="008E333C">
        <w:rPr>
          <w:rFonts w:asciiTheme="minorHAnsi" w:hAnsiTheme="minorHAnsi"/>
          <w:sz w:val="22"/>
          <w:szCs w:val="22"/>
        </w:rPr>
        <w:t xml:space="preserve"> za PVO</w:t>
      </w:r>
      <w:r>
        <w:rPr>
          <w:rFonts w:asciiTheme="minorHAnsi" w:hAnsiTheme="minorHAnsi"/>
          <w:sz w:val="22"/>
          <w:szCs w:val="22"/>
        </w:rPr>
        <w:t xml:space="preserve">. </w:t>
      </w:r>
    </w:p>
    <w:p w14:paraId="3EF4C7C0" w14:textId="77777777" w:rsidR="00DB5D24" w:rsidRDefault="00DB5D24" w:rsidP="00DB5D24">
      <w:pPr>
        <w:jc w:val="center"/>
        <w:rPr>
          <w:rFonts w:asciiTheme="minorHAnsi" w:hAnsiTheme="minorHAnsi"/>
          <w:b/>
          <w:sz w:val="22"/>
          <w:szCs w:val="22"/>
        </w:rPr>
      </w:pPr>
    </w:p>
    <w:p w14:paraId="3B0C1E3C" w14:textId="77777777" w:rsidR="00D15CE4" w:rsidRDefault="00D15CE4" w:rsidP="00DB5D24">
      <w:pPr>
        <w:jc w:val="center"/>
        <w:rPr>
          <w:rFonts w:ascii="Cambria" w:hAnsi="Cambria"/>
          <w:b/>
          <w:sz w:val="22"/>
          <w:szCs w:val="22"/>
        </w:rPr>
      </w:pPr>
    </w:p>
    <w:p w14:paraId="61E9D967" w14:textId="77777777" w:rsidR="00D15CE4" w:rsidRDefault="00D15CE4" w:rsidP="00DB5D24">
      <w:pPr>
        <w:jc w:val="center"/>
        <w:rPr>
          <w:rFonts w:ascii="Cambria" w:hAnsi="Cambria"/>
          <w:b/>
          <w:sz w:val="22"/>
          <w:szCs w:val="22"/>
        </w:rPr>
      </w:pPr>
    </w:p>
    <w:p w14:paraId="13C45E7F" w14:textId="77777777" w:rsidR="00D15CE4" w:rsidRDefault="00D15CE4" w:rsidP="00DB5D24">
      <w:pPr>
        <w:jc w:val="center"/>
        <w:rPr>
          <w:rFonts w:ascii="Cambria" w:hAnsi="Cambria"/>
          <w:b/>
          <w:sz w:val="22"/>
          <w:szCs w:val="22"/>
        </w:rPr>
      </w:pPr>
    </w:p>
    <w:p w14:paraId="4E067E6E" w14:textId="289C04C2" w:rsidR="00D15CE4" w:rsidRDefault="00D15CE4" w:rsidP="00DB5D24">
      <w:pPr>
        <w:jc w:val="center"/>
        <w:rPr>
          <w:rFonts w:ascii="Cambria" w:hAnsi="Cambria"/>
          <w:b/>
          <w:sz w:val="22"/>
          <w:szCs w:val="22"/>
        </w:rPr>
      </w:pPr>
    </w:p>
    <w:p w14:paraId="046F48F1" w14:textId="3C4DFD73" w:rsidR="00A21756" w:rsidRDefault="00A21756" w:rsidP="00DB5D24">
      <w:pPr>
        <w:jc w:val="center"/>
        <w:rPr>
          <w:rFonts w:ascii="Cambria" w:hAnsi="Cambria"/>
          <w:b/>
          <w:sz w:val="22"/>
          <w:szCs w:val="22"/>
        </w:rPr>
      </w:pPr>
    </w:p>
    <w:p w14:paraId="1700EB96" w14:textId="195AA5EC" w:rsidR="00A21756" w:rsidRDefault="00A21756" w:rsidP="00DB5D24">
      <w:pPr>
        <w:jc w:val="center"/>
        <w:rPr>
          <w:rFonts w:ascii="Cambria" w:hAnsi="Cambria"/>
          <w:b/>
          <w:sz w:val="22"/>
          <w:szCs w:val="22"/>
        </w:rPr>
      </w:pPr>
    </w:p>
    <w:p w14:paraId="459C0CB3" w14:textId="0EA01130" w:rsidR="00A21756" w:rsidRDefault="00A21756" w:rsidP="00DB5D24">
      <w:pPr>
        <w:jc w:val="center"/>
        <w:rPr>
          <w:rFonts w:ascii="Cambria" w:hAnsi="Cambria"/>
          <w:b/>
          <w:sz w:val="22"/>
          <w:szCs w:val="22"/>
        </w:rPr>
      </w:pPr>
    </w:p>
    <w:p w14:paraId="2DC00FF7" w14:textId="3C31530B" w:rsidR="00A21756" w:rsidRDefault="00A21756" w:rsidP="00DB5D24">
      <w:pPr>
        <w:jc w:val="center"/>
        <w:rPr>
          <w:rFonts w:ascii="Cambria" w:hAnsi="Cambria"/>
          <w:b/>
          <w:sz w:val="22"/>
          <w:szCs w:val="22"/>
        </w:rPr>
      </w:pPr>
    </w:p>
    <w:p w14:paraId="4B4B9E71" w14:textId="2F0A3FE6" w:rsidR="00A21756" w:rsidRDefault="00A21756" w:rsidP="00DB5D24">
      <w:pPr>
        <w:jc w:val="center"/>
        <w:rPr>
          <w:rFonts w:ascii="Cambria" w:hAnsi="Cambria"/>
          <w:b/>
          <w:sz w:val="22"/>
          <w:szCs w:val="22"/>
        </w:rPr>
      </w:pPr>
    </w:p>
    <w:p w14:paraId="37423525" w14:textId="77777777" w:rsidR="00A21756" w:rsidRDefault="00A21756" w:rsidP="00DB5D24">
      <w:pPr>
        <w:jc w:val="center"/>
        <w:rPr>
          <w:rFonts w:ascii="Cambria" w:hAnsi="Cambria"/>
          <w:b/>
          <w:sz w:val="22"/>
          <w:szCs w:val="22"/>
        </w:rPr>
      </w:pPr>
    </w:p>
    <w:p w14:paraId="5D966FE8" w14:textId="77777777" w:rsidR="00D15CE4" w:rsidRDefault="00D15CE4" w:rsidP="00DB5D24">
      <w:pPr>
        <w:jc w:val="center"/>
        <w:rPr>
          <w:rFonts w:ascii="Cambria" w:hAnsi="Cambria"/>
          <w:b/>
          <w:sz w:val="22"/>
          <w:szCs w:val="22"/>
        </w:rPr>
      </w:pPr>
    </w:p>
    <w:p w14:paraId="20F6B453" w14:textId="77777777" w:rsidR="00D15CE4" w:rsidRDefault="00D15CE4" w:rsidP="008E333C">
      <w:pPr>
        <w:rPr>
          <w:rFonts w:ascii="Cambria" w:hAnsi="Cambria"/>
          <w:b/>
          <w:sz w:val="22"/>
          <w:szCs w:val="22"/>
        </w:rPr>
      </w:pPr>
    </w:p>
    <w:p w14:paraId="4F9FF11B" w14:textId="68B7D451" w:rsidR="00DB5D24" w:rsidRPr="00001AF1" w:rsidRDefault="00DB5D24" w:rsidP="00DB5D24">
      <w:pPr>
        <w:jc w:val="center"/>
        <w:rPr>
          <w:rFonts w:ascii="Cambria" w:hAnsi="Cambria"/>
          <w:b/>
          <w:sz w:val="22"/>
          <w:szCs w:val="22"/>
        </w:rPr>
      </w:pPr>
      <w:proofErr w:type="spellStart"/>
      <w:r w:rsidRPr="00001AF1">
        <w:rPr>
          <w:rFonts w:ascii="Cambria" w:hAnsi="Cambria"/>
          <w:b/>
          <w:sz w:val="22"/>
          <w:szCs w:val="22"/>
        </w:rPr>
        <w:lastRenderedPageBreak/>
        <w:t>Grafikon</w:t>
      </w:r>
      <w:proofErr w:type="spellEnd"/>
      <w:r w:rsidRPr="00001AF1">
        <w:rPr>
          <w:rFonts w:ascii="Cambria" w:hAnsi="Cambria"/>
          <w:b/>
          <w:sz w:val="22"/>
          <w:szCs w:val="22"/>
        </w:rPr>
        <w:t xml:space="preserve"> </w:t>
      </w:r>
      <w:r w:rsidR="00C65FEF">
        <w:rPr>
          <w:rFonts w:ascii="Cambria" w:hAnsi="Cambria"/>
          <w:b/>
          <w:sz w:val="22"/>
          <w:szCs w:val="22"/>
        </w:rPr>
        <w:t>3</w:t>
      </w:r>
      <w:r w:rsidRPr="00001AF1">
        <w:rPr>
          <w:rFonts w:ascii="Cambria" w:hAnsi="Cambria"/>
          <w:b/>
          <w:sz w:val="22"/>
          <w:szCs w:val="22"/>
        </w:rPr>
        <w:t xml:space="preserve">. Deca u </w:t>
      </w:r>
      <w:proofErr w:type="spellStart"/>
      <w:r w:rsidRPr="00001AF1">
        <w:rPr>
          <w:rFonts w:ascii="Cambria" w:hAnsi="Cambria"/>
          <w:b/>
          <w:sz w:val="22"/>
          <w:szCs w:val="22"/>
        </w:rPr>
        <w:t>predškolskom</w:t>
      </w:r>
      <w:proofErr w:type="spellEnd"/>
      <w:r w:rsidRPr="00001AF1">
        <w:rPr>
          <w:rFonts w:ascii="Cambria" w:hAnsi="Cambria"/>
          <w:b/>
          <w:sz w:val="22"/>
          <w:szCs w:val="22"/>
        </w:rPr>
        <w:t xml:space="preserve"> </w:t>
      </w:r>
      <w:proofErr w:type="spellStart"/>
      <w:r w:rsidRPr="00001AF1">
        <w:rPr>
          <w:rFonts w:ascii="Cambria" w:hAnsi="Cambria"/>
          <w:b/>
          <w:sz w:val="22"/>
          <w:szCs w:val="22"/>
        </w:rPr>
        <w:t>obrazovanju</w:t>
      </w:r>
      <w:proofErr w:type="spellEnd"/>
      <w:r w:rsidRPr="00001AF1">
        <w:rPr>
          <w:rFonts w:ascii="Cambria" w:hAnsi="Cambria"/>
          <w:b/>
          <w:sz w:val="22"/>
          <w:szCs w:val="22"/>
        </w:rPr>
        <w:t xml:space="preserve"> </w:t>
      </w:r>
      <w:proofErr w:type="spellStart"/>
      <w:r w:rsidRPr="00001AF1">
        <w:rPr>
          <w:rFonts w:ascii="Cambria" w:hAnsi="Cambria"/>
          <w:b/>
          <w:sz w:val="22"/>
          <w:szCs w:val="22"/>
        </w:rPr>
        <w:t>prema</w:t>
      </w:r>
      <w:proofErr w:type="spellEnd"/>
      <w:r w:rsidRPr="00001AF1">
        <w:rPr>
          <w:rFonts w:ascii="Cambria" w:hAnsi="Cambria"/>
          <w:b/>
          <w:sz w:val="22"/>
          <w:szCs w:val="22"/>
        </w:rPr>
        <w:t xml:space="preserve"> </w:t>
      </w:r>
      <w:proofErr w:type="spellStart"/>
      <w:r w:rsidRPr="00001AF1">
        <w:rPr>
          <w:rFonts w:ascii="Cambria" w:hAnsi="Cambria"/>
          <w:b/>
          <w:sz w:val="22"/>
          <w:szCs w:val="22"/>
        </w:rPr>
        <w:t>učešću</w:t>
      </w:r>
      <w:proofErr w:type="spellEnd"/>
    </w:p>
    <w:p w14:paraId="45F18947" w14:textId="5DD28F30" w:rsidR="00DB5D24" w:rsidRPr="00001AF1" w:rsidRDefault="00DB5D24" w:rsidP="00DB5D24">
      <w:pPr>
        <w:jc w:val="center"/>
        <w:rPr>
          <w:rFonts w:ascii="Cambria" w:hAnsi="Cambria"/>
          <w:b/>
          <w:sz w:val="22"/>
          <w:szCs w:val="22"/>
        </w:rPr>
      </w:pPr>
      <w:proofErr w:type="spellStart"/>
      <w:r w:rsidRPr="00001AF1">
        <w:rPr>
          <w:rFonts w:ascii="Cambria" w:hAnsi="Cambria"/>
          <w:b/>
          <w:sz w:val="22"/>
          <w:szCs w:val="22"/>
        </w:rPr>
        <w:t>roditelja</w:t>
      </w:r>
      <w:proofErr w:type="spellEnd"/>
      <w:r w:rsidRPr="00001AF1">
        <w:rPr>
          <w:rFonts w:ascii="Cambria" w:hAnsi="Cambria"/>
          <w:b/>
          <w:sz w:val="22"/>
          <w:szCs w:val="22"/>
        </w:rPr>
        <w:t xml:space="preserve"> u </w:t>
      </w:r>
      <w:proofErr w:type="spellStart"/>
      <w:r w:rsidRPr="00001AF1">
        <w:rPr>
          <w:rFonts w:ascii="Cambria" w:hAnsi="Cambria"/>
          <w:b/>
          <w:sz w:val="22"/>
          <w:szCs w:val="22"/>
        </w:rPr>
        <w:t>troškovima</w:t>
      </w:r>
      <w:proofErr w:type="spellEnd"/>
      <w:r w:rsidRPr="00001AF1">
        <w:rPr>
          <w:rFonts w:ascii="Cambria" w:hAnsi="Cambria"/>
          <w:b/>
          <w:sz w:val="22"/>
          <w:szCs w:val="22"/>
        </w:rPr>
        <w:t xml:space="preserve"> </w:t>
      </w:r>
      <w:proofErr w:type="spellStart"/>
      <w:r w:rsidRPr="00001AF1">
        <w:rPr>
          <w:rFonts w:ascii="Cambria" w:hAnsi="Cambria"/>
          <w:b/>
          <w:sz w:val="22"/>
          <w:szCs w:val="22"/>
        </w:rPr>
        <w:t>koje</w:t>
      </w:r>
      <w:proofErr w:type="spellEnd"/>
      <w:r w:rsidRPr="00001AF1">
        <w:rPr>
          <w:rFonts w:ascii="Cambria" w:hAnsi="Cambria"/>
          <w:b/>
          <w:sz w:val="22"/>
          <w:szCs w:val="22"/>
        </w:rPr>
        <w:t xml:space="preserve"> </w:t>
      </w:r>
      <w:proofErr w:type="spellStart"/>
      <w:r w:rsidRPr="00001AF1">
        <w:rPr>
          <w:rFonts w:ascii="Cambria" w:hAnsi="Cambria"/>
          <w:b/>
          <w:sz w:val="22"/>
          <w:szCs w:val="22"/>
        </w:rPr>
        <w:t>roditelji</w:t>
      </w:r>
      <w:proofErr w:type="spellEnd"/>
      <w:r w:rsidRPr="00001AF1">
        <w:rPr>
          <w:rFonts w:ascii="Cambria" w:hAnsi="Cambria"/>
          <w:b/>
          <w:sz w:val="22"/>
          <w:szCs w:val="22"/>
        </w:rPr>
        <w:t xml:space="preserve"> </w:t>
      </w:r>
      <w:proofErr w:type="spellStart"/>
      <w:r w:rsidRPr="00001AF1">
        <w:rPr>
          <w:rFonts w:ascii="Cambria" w:hAnsi="Cambria"/>
          <w:b/>
          <w:sz w:val="22"/>
          <w:szCs w:val="22"/>
        </w:rPr>
        <w:t>plaćaju</w:t>
      </w:r>
      <w:proofErr w:type="spellEnd"/>
      <w:r w:rsidRPr="00001AF1">
        <w:rPr>
          <w:rFonts w:ascii="Cambria" w:hAnsi="Cambria"/>
          <w:b/>
          <w:sz w:val="22"/>
          <w:szCs w:val="22"/>
        </w:rPr>
        <w:t>, 2017</w:t>
      </w:r>
      <w:r w:rsidR="00AD53F7">
        <w:rPr>
          <w:rFonts w:ascii="Cambria" w:hAnsi="Cambria"/>
          <w:b/>
          <w:sz w:val="22"/>
          <w:szCs w:val="22"/>
        </w:rPr>
        <w:t>-2019</w:t>
      </w:r>
      <w:r w:rsidRPr="00001AF1">
        <w:rPr>
          <w:rFonts w:ascii="Cambria" w:hAnsi="Cambria"/>
          <w:b/>
          <w:sz w:val="22"/>
          <w:szCs w:val="22"/>
        </w:rPr>
        <w:t>.</w:t>
      </w:r>
    </w:p>
    <w:p w14:paraId="5E2C34EB" w14:textId="77777777" w:rsidR="00DB5D24" w:rsidRPr="002D6D78" w:rsidRDefault="00DB5D24" w:rsidP="00DB5D24">
      <w:pPr>
        <w:rPr>
          <w:rFonts w:asciiTheme="minorHAnsi" w:hAnsiTheme="minorHAnsi"/>
          <w:sz w:val="4"/>
          <w:szCs w:val="4"/>
          <w:u w:val="single"/>
        </w:rPr>
      </w:pPr>
    </w:p>
    <w:p w14:paraId="60F70A30" w14:textId="6CC841CD" w:rsidR="00DB5D24" w:rsidRPr="002D6D78" w:rsidRDefault="00A21756" w:rsidP="00DB5D24">
      <w:pPr>
        <w:jc w:val="center"/>
        <w:rPr>
          <w:rFonts w:asciiTheme="minorHAnsi" w:hAnsiTheme="minorHAnsi"/>
          <w:i/>
          <w:u w:val="single"/>
        </w:rPr>
      </w:pPr>
      <w:r>
        <w:rPr>
          <w:noProof/>
        </w:rPr>
        <w:drawing>
          <wp:inline distT="0" distB="0" distL="0" distR="0" wp14:anchorId="59914D6E" wp14:editId="27C3A18D">
            <wp:extent cx="5943600" cy="37363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736340"/>
                    </a:xfrm>
                    <a:prstGeom prst="rect">
                      <a:avLst/>
                    </a:prstGeom>
                  </pic:spPr>
                </pic:pic>
              </a:graphicData>
            </a:graphic>
          </wp:inline>
        </w:drawing>
      </w:r>
    </w:p>
    <w:p w14:paraId="004EC615" w14:textId="77777777" w:rsidR="00DB5D24" w:rsidRPr="002D6D78" w:rsidRDefault="00DB5D24" w:rsidP="00AD53F7">
      <w:pPr>
        <w:rPr>
          <w:rFonts w:asciiTheme="minorHAnsi" w:hAnsiTheme="minorHAnsi"/>
          <w:sz w:val="20"/>
          <w:szCs w:val="20"/>
        </w:rPr>
      </w:pPr>
      <w:proofErr w:type="spellStart"/>
      <w:r w:rsidRPr="002D6D78">
        <w:rPr>
          <w:rFonts w:asciiTheme="minorHAnsi" w:hAnsiTheme="minorHAnsi"/>
          <w:sz w:val="20"/>
          <w:szCs w:val="20"/>
        </w:rPr>
        <w:t>Izvor</w:t>
      </w:r>
      <w:proofErr w:type="spellEnd"/>
      <w:r w:rsidRPr="002D6D78">
        <w:rPr>
          <w:rFonts w:asciiTheme="minorHAnsi" w:hAnsiTheme="minorHAnsi"/>
          <w:sz w:val="20"/>
          <w:szCs w:val="20"/>
        </w:rPr>
        <w:t xml:space="preserve">: </w:t>
      </w:r>
      <w:proofErr w:type="spellStart"/>
      <w:r w:rsidRPr="002D6D78">
        <w:rPr>
          <w:rFonts w:asciiTheme="minorHAnsi" w:hAnsiTheme="minorHAnsi"/>
          <w:sz w:val="20"/>
          <w:szCs w:val="20"/>
        </w:rPr>
        <w:t>Devinfo</w:t>
      </w:r>
      <w:proofErr w:type="spellEnd"/>
      <w:r w:rsidRPr="002D6D78">
        <w:rPr>
          <w:rFonts w:asciiTheme="minorHAnsi" w:hAnsiTheme="minorHAnsi"/>
          <w:sz w:val="20"/>
          <w:szCs w:val="20"/>
        </w:rPr>
        <w:t xml:space="preserve"> – </w:t>
      </w:r>
      <w:proofErr w:type="spellStart"/>
      <w:r w:rsidRPr="002D6D78">
        <w:rPr>
          <w:rFonts w:asciiTheme="minorHAnsi" w:hAnsiTheme="minorHAnsi"/>
          <w:sz w:val="20"/>
          <w:szCs w:val="20"/>
        </w:rPr>
        <w:t>profili</w:t>
      </w:r>
      <w:proofErr w:type="spellEnd"/>
      <w:r w:rsidRPr="002D6D78">
        <w:rPr>
          <w:rFonts w:asciiTheme="minorHAnsi" w:hAnsiTheme="minorHAnsi"/>
          <w:sz w:val="20"/>
          <w:szCs w:val="20"/>
        </w:rPr>
        <w:t xml:space="preserve"> </w:t>
      </w:r>
      <w:proofErr w:type="spellStart"/>
      <w:r w:rsidRPr="002D6D78">
        <w:rPr>
          <w:rFonts w:asciiTheme="minorHAnsi" w:hAnsiTheme="minorHAnsi"/>
          <w:sz w:val="20"/>
          <w:szCs w:val="20"/>
        </w:rPr>
        <w:t>opština</w:t>
      </w:r>
      <w:proofErr w:type="spellEnd"/>
      <w:r w:rsidRPr="002D6D78">
        <w:rPr>
          <w:rFonts w:asciiTheme="minorHAnsi" w:hAnsiTheme="minorHAnsi"/>
          <w:sz w:val="20"/>
          <w:szCs w:val="20"/>
        </w:rPr>
        <w:t xml:space="preserve"> (</w:t>
      </w:r>
      <w:proofErr w:type="spellStart"/>
      <w:r w:rsidRPr="002D6D78">
        <w:rPr>
          <w:rFonts w:asciiTheme="minorHAnsi" w:hAnsiTheme="minorHAnsi"/>
          <w:sz w:val="20"/>
          <w:szCs w:val="20"/>
        </w:rPr>
        <w:t>primarni</w:t>
      </w:r>
      <w:proofErr w:type="spellEnd"/>
      <w:r w:rsidRPr="002D6D78">
        <w:rPr>
          <w:rFonts w:asciiTheme="minorHAnsi" w:hAnsiTheme="minorHAnsi"/>
          <w:sz w:val="20"/>
          <w:szCs w:val="20"/>
        </w:rPr>
        <w:t xml:space="preserve"> </w:t>
      </w:r>
      <w:proofErr w:type="spellStart"/>
      <w:r w:rsidRPr="002D6D78">
        <w:rPr>
          <w:rFonts w:asciiTheme="minorHAnsi" w:hAnsiTheme="minorHAnsi"/>
          <w:sz w:val="20"/>
          <w:szCs w:val="20"/>
        </w:rPr>
        <w:t>izvor</w:t>
      </w:r>
      <w:proofErr w:type="spellEnd"/>
      <w:r w:rsidRPr="002D6D78">
        <w:rPr>
          <w:rFonts w:asciiTheme="minorHAnsi" w:hAnsiTheme="minorHAnsi"/>
          <w:sz w:val="20"/>
          <w:szCs w:val="20"/>
        </w:rPr>
        <w:t xml:space="preserve"> </w:t>
      </w:r>
      <w:proofErr w:type="spellStart"/>
      <w:r w:rsidRPr="002D6D78">
        <w:rPr>
          <w:rFonts w:asciiTheme="minorHAnsi" w:hAnsiTheme="minorHAnsi"/>
          <w:sz w:val="20"/>
          <w:szCs w:val="20"/>
        </w:rPr>
        <w:t>Statistika</w:t>
      </w:r>
      <w:proofErr w:type="spellEnd"/>
      <w:r w:rsidRPr="002D6D78">
        <w:rPr>
          <w:rFonts w:asciiTheme="minorHAnsi" w:hAnsiTheme="minorHAnsi"/>
          <w:sz w:val="20"/>
          <w:szCs w:val="20"/>
        </w:rPr>
        <w:t xml:space="preserve"> </w:t>
      </w:r>
      <w:proofErr w:type="spellStart"/>
      <w:r w:rsidRPr="002D6D78">
        <w:rPr>
          <w:rFonts w:asciiTheme="minorHAnsi" w:hAnsiTheme="minorHAnsi"/>
          <w:sz w:val="20"/>
          <w:szCs w:val="20"/>
        </w:rPr>
        <w:t>obrazovanja</w:t>
      </w:r>
      <w:proofErr w:type="spellEnd"/>
      <w:r w:rsidRPr="002D6D78">
        <w:rPr>
          <w:rFonts w:asciiTheme="minorHAnsi" w:hAnsiTheme="minorHAnsi"/>
          <w:sz w:val="20"/>
          <w:szCs w:val="20"/>
        </w:rPr>
        <w:t xml:space="preserve"> RZS)</w:t>
      </w:r>
    </w:p>
    <w:p w14:paraId="6911C3A8" w14:textId="77777777" w:rsidR="00DB5D24" w:rsidRPr="002D6D78" w:rsidRDefault="00DB5D24" w:rsidP="00DB5D24">
      <w:pPr>
        <w:rPr>
          <w:rFonts w:asciiTheme="minorHAnsi" w:hAnsiTheme="minorHAnsi"/>
          <w:b/>
          <w:smallCaps/>
        </w:rPr>
      </w:pPr>
    </w:p>
    <w:p w14:paraId="698BEE6E" w14:textId="77777777" w:rsidR="00DB5D24" w:rsidRDefault="00DB5D24" w:rsidP="00DB5D24">
      <w:pPr>
        <w:jc w:val="both"/>
        <w:textAlignment w:val="center"/>
        <w:rPr>
          <w:rFonts w:asciiTheme="minorHAnsi" w:hAnsiTheme="minorHAnsi"/>
          <w:i/>
          <w:u w:val="single"/>
        </w:rPr>
      </w:pPr>
    </w:p>
    <w:p w14:paraId="3846D77D" w14:textId="540E115D" w:rsidR="00DB5D24" w:rsidRDefault="00DB5D24" w:rsidP="00DB5D24">
      <w:pPr>
        <w:jc w:val="both"/>
        <w:textAlignment w:val="center"/>
        <w:rPr>
          <w:rFonts w:asciiTheme="minorHAnsi" w:hAnsiTheme="minorHAnsi"/>
          <w:i/>
          <w:u w:val="single"/>
        </w:rPr>
      </w:pPr>
      <w:proofErr w:type="spellStart"/>
      <w:r w:rsidRPr="00D9414A">
        <w:rPr>
          <w:rFonts w:asciiTheme="minorHAnsi" w:hAnsiTheme="minorHAnsi"/>
          <w:i/>
          <w:u w:val="single"/>
        </w:rPr>
        <w:t>Osnovno</w:t>
      </w:r>
      <w:proofErr w:type="spellEnd"/>
      <w:r>
        <w:rPr>
          <w:rFonts w:asciiTheme="minorHAnsi" w:hAnsiTheme="minorHAnsi"/>
          <w:i/>
          <w:u w:val="single"/>
        </w:rPr>
        <w:t xml:space="preserve"> </w:t>
      </w:r>
      <w:proofErr w:type="spellStart"/>
      <w:r w:rsidRPr="00D9414A">
        <w:rPr>
          <w:rFonts w:asciiTheme="minorHAnsi" w:hAnsiTheme="minorHAnsi"/>
          <w:i/>
          <w:u w:val="single"/>
        </w:rPr>
        <w:t>obrazovanje</w:t>
      </w:r>
      <w:proofErr w:type="spellEnd"/>
    </w:p>
    <w:p w14:paraId="30B0FDAF" w14:textId="77777777" w:rsidR="00ED72EC" w:rsidRDefault="00ED72EC" w:rsidP="00DB5D24">
      <w:pPr>
        <w:jc w:val="both"/>
        <w:textAlignment w:val="center"/>
        <w:rPr>
          <w:rFonts w:asciiTheme="minorHAnsi" w:hAnsiTheme="minorHAnsi"/>
          <w:i/>
          <w:u w:val="single"/>
        </w:rPr>
      </w:pPr>
    </w:p>
    <w:p w14:paraId="6603EB5E" w14:textId="6E273A42" w:rsidR="00DD5E72" w:rsidRPr="00793676" w:rsidRDefault="00DD5E72" w:rsidP="00DD5E72">
      <w:pPr>
        <w:pStyle w:val="MediumGrid1-Accent21"/>
        <w:widowControl w:val="0"/>
        <w:pBdr>
          <w:top w:val="single" w:sz="4" w:space="1" w:color="auto"/>
          <w:left w:val="single" w:sz="4" w:space="4" w:color="auto"/>
          <w:bottom w:val="single" w:sz="4" w:space="1" w:color="auto"/>
          <w:right w:val="single" w:sz="4" w:space="4" w:color="auto"/>
        </w:pBdr>
        <w:autoSpaceDE w:val="0"/>
        <w:autoSpaceDN w:val="0"/>
        <w:adjustRightInd w:val="0"/>
        <w:spacing w:before="0" w:after="0" w:line="23" w:lineRule="atLeast"/>
        <w:ind w:left="0"/>
        <w:jc w:val="both"/>
        <w:rPr>
          <w:rFonts w:ascii="Calibri" w:hAnsi="Calibri"/>
          <w:b/>
          <w:smallCaps/>
          <w:sz w:val="22"/>
          <w:lang w:val="sr-Latn-CS"/>
        </w:rPr>
      </w:pPr>
      <w:r w:rsidRPr="00793676">
        <w:rPr>
          <w:rFonts w:ascii="Calibri" w:hAnsi="Calibri"/>
          <w:b/>
          <w:smallCaps/>
          <w:sz w:val="22"/>
          <w:lang w:val="sr-Latn-CS"/>
        </w:rPr>
        <w:t>Okvir 4. Strateški ciljevi osnovnog obrazovanja</w:t>
      </w:r>
    </w:p>
    <w:p w14:paraId="492A18F7" w14:textId="77777777" w:rsidR="00DD5E72" w:rsidRDefault="00DD5E72" w:rsidP="00DD5E72">
      <w:pPr>
        <w:pStyle w:val="MediumGrid1-Accent21"/>
        <w:widowControl w:val="0"/>
        <w:pBdr>
          <w:top w:val="single" w:sz="4" w:space="1" w:color="auto"/>
          <w:left w:val="single" w:sz="4" w:space="4" w:color="auto"/>
          <w:bottom w:val="single" w:sz="4" w:space="1" w:color="auto"/>
          <w:right w:val="single" w:sz="4" w:space="4" w:color="auto"/>
        </w:pBdr>
        <w:autoSpaceDE w:val="0"/>
        <w:autoSpaceDN w:val="0"/>
        <w:adjustRightInd w:val="0"/>
        <w:spacing w:before="0" w:after="0" w:line="23" w:lineRule="atLeast"/>
        <w:ind w:left="0"/>
        <w:jc w:val="both"/>
        <w:rPr>
          <w:rFonts w:ascii="Calibri" w:hAnsi="Calibri"/>
          <w:sz w:val="22"/>
          <w:lang w:val="sr-Latn-CS"/>
        </w:rPr>
      </w:pPr>
    </w:p>
    <w:p w14:paraId="6EFBB523" w14:textId="247D4CA9" w:rsidR="00DD5E72" w:rsidRDefault="00DD5E72" w:rsidP="00DD5E72">
      <w:pPr>
        <w:pStyle w:val="MediumGrid1-Accent21"/>
        <w:widowControl w:val="0"/>
        <w:pBdr>
          <w:top w:val="single" w:sz="4" w:space="1" w:color="auto"/>
          <w:left w:val="single" w:sz="4" w:space="4" w:color="auto"/>
          <w:bottom w:val="single" w:sz="4" w:space="1" w:color="auto"/>
          <w:right w:val="single" w:sz="4" w:space="4" w:color="auto"/>
        </w:pBdr>
        <w:autoSpaceDE w:val="0"/>
        <w:autoSpaceDN w:val="0"/>
        <w:adjustRightInd w:val="0"/>
        <w:spacing w:before="0" w:after="0" w:line="23" w:lineRule="atLeast"/>
        <w:ind w:left="0"/>
        <w:jc w:val="both"/>
        <w:rPr>
          <w:rFonts w:ascii="Calibri" w:hAnsi="Calibri"/>
          <w:sz w:val="22"/>
          <w:lang w:val="sr-Latn-CS"/>
        </w:rPr>
      </w:pPr>
      <w:r>
        <w:rPr>
          <w:rFonts w:ascii="Calibri" w:hAnsi="Calibri"/>
          <w:sz w:val="22"/>
          <w:lang w:val="sr-Latn-CS"/>
        </w:rPr>
        <w:t>Strategija obrazovanja do 2020. predviđala je da «d</w:t>
      </w:r>
      <w:r w:rsidRPr="00284245">
        <w:rPr>
          <w:rFonts w:ascii="Calibri" w:hAnsi="Calibri"/>
          <w:sz w:val="22"/>
          <w:lang w:val="sr-Latn-CS"/>
        </w:rPr>
        <w:t>o 2020. godine svi dečaci i devojčice zakonom predviđenog školskog uzrasta (minimalno  98%  generacije),  bez  obzira  na  socio-ekonomske,  zdravstvene, regionalne,  nacionalne,  jezičke,  etničke,  verske  i  druge  karakteristike, obuhvaćeni  su  kvalitetnim  osnovnim  obrazovanjem  i  vaspitanjem  iz  kojeg osipanje nije veće od 5% (tj. završava osnovnu školu 93% generacije), ne samo nanacionalnom  nivou  već  i  za  kategorije  dece  iz  osetljivih  grupa  (seoska, romska, siromašna deca i deca sa invaliditetom i smetnjama u razvoju)</w:t>
      </w:r>
      <w:r>
        <w:rPr>
          <w:rFonts w:ascii="Calibri" w:hAnsi="Calibri"/>
          <w:sz w:val="22"/>
          <w:lang w:val="sr-Latn-CS"/>
        </w:rPr>
        <w:t>» (Vlada RS, 2012:29)</w:t>
      </w:r>
      <w:r w:rsidRPr="00284245">
        <w:rPr>
          <w:rFonts w:ascii="Calibri" w:hAnsi="Calibri"/>
          <w:sz w:val="22"/>
          <w:lang w:val="sr-Latn-CS"/>
        </w:rPr>
        <w:t>.</w:t>
      </w:r>
      <w:r>
        <w:rPr>
          <w:rFonts w:ascii="Calibri" w:hAnsi="Calibri"/>
          <w:sz w:val="22"/>
          <w:lang w:val="sr-Latn-CS"/>
        </w:rPr>
        <w:t xml:space="preserve"> </w:t>
      </w:r>
    </w:p>
    <w:p w14:paraId="75F2A531" w14:textId="77777777" w:rsidR="0032035D" w:rsidRDefault="0032035D" w:rsidP="00DD5E72">
      <w:pPr>
        <w:pStyle w:val="MediumGrid1-Accent21"/>
        <w:widowControl w:val="0"/>
        <w:pBdr>
          <w:top w:val="single" w:sz="4" w:space="1" w:color="auto"/>
          <w:left w:val="single" w:sz="4" w:space="4" w:color="auto"/>
          <w:bottom w:val="single" w:sz="4" w:space="1" w:color="auto"/>
          <w:right w:val="single" w:sz="4" w:space="4" w:color="auto"/>
        </w:pBdr>
        <w:autoSpaceDE w:val="0"/>
        <w:autoSpaceDN w:val="0"/>
        <w:adjustRightInd w:val="0"/>
        <w:spacing w:before="0" w:after="0" w:line="23" w:lineRule="atLeast"/>
        <w:ind w:left="0"/>
        <w:jc w:val="both"/>
        <w:rPr>
          <w:rFonts w:ascii="Calibri" w:hAnsi="Calibri"/>
          <w:sz w:val="22"/>
          <w:lang w:val="sr-Latn-CS"/>
        </w:rPr>
      </w:pPr>
    </w:p>
    <w:p w14:paraId="01E9718C" w14:textId="4911F32E" w:rsidR="00DD5E72" w:rsidRPr="00DD5E72" w:rsidRDefault="00DD5E72" w:rsidP="00DD5E72">
      <w:pPr>
        <w:pStyle w:val="MediumGrid1-Accent21"/>
        <w:widowControl w:val="0"/>
        <w:pBdr>
          <w:top w:val="single" w:sz="4" w:space="1" w:color="auto"/>
          <w:left w:val="single" w:sz="4" w:space="4" w:color="auto"/>
          <w:bottom w:val="single" w:sz="4" w:space="1" w:color="auto"/>
          <w:right w:val="single" w:sz="4" w:space="4" w:color="auto"/>
        </w:pBdr>
        <w:autoSpaceDE w:val="0"/>
        <w:autoSpaceDN w:val="0"/>
        <w:adjustRightInd w:val="0"/>
        <w:spacing w:before="0" w:after="0" w:line="23" w:lineRule="atLeast"/>
        <w:ind w:left="0"/>
        <w:jc w:val="both"/>
        <w:rPr>
          <w:rFonts w:ascii="Calibri" w:hAnsi="Calibri"/>
          <w:sz w:val="22"/>
          <w:lang w:val="sr-Latn-CS"/>
        </w:rPr>
      </w:pPr>
      <w:r>
        <w:rPr>
          <w:rFonts w:ascii="Calibri" w:hAnsi="Calibri"/>
          <w:sz w:val="22"/>
          <w:lang w:val="sr-Latn-CS"/>
        </w:rPr>
        <w:t xml:space="preserve">Ciljevi iz Strategije 2020 su dobrim delom ostvareni, a najnoviji </w:t>
      </w:r>
      <w:r w:rsidRPr="00DD5E72">
        <w:rPr>
          <w:rFonts w:ascii="Calibri" w:hAnsi="Calibri"/>
          <w:i/>
          <w:sz w:val="22"/>
          <w:lang w:val="sr-Latn-CS"/>
        </w:rPr>
        <w:t>predlog Strategije obrazovanja do 2030.</w:t>
      </w:r>
      <w:r>
        <w:rPr>
          <w:rFonts w:ascii="Calibri" w:hAnsi="Calibri"/>
          <w:sz w:val="22"/>
          <w:lang w:val="sr-Latn-CS"/>
        </w:rPr>
        <w:t xml:space="preserve"> predviđa potpun obuhvat osnovnim obrazovanjem, poboljšanje kvaliteta obrazovanje, optimizaciju mreža osnovnih škola. </w:t>
      </w:r>
    </w:p>
    <w:p w14:paraId="6EBDC222" w14:textId="77777777" w:rsidR="00DD5E72" w:rsidRPr="0028044E" w:rsidRDefault="00DD5E72" w:rsidP="00DD5E72">
      <w:pPr>
        <w:pStyle w:val="MediumGrid1-Accent21"/>
        <w:widowControl w:val="0"/>
        <w:autoSpaceDE w:val="0"/>
        <w:autoSpaceDN w:val="0"/>
        <w:adjustRightInd w:val="0"/>
        <w:spacing w:before="0" w:after="0" w:line="23" w:lineRule="atLeast"/>
        <w:ind w:left="0"/>
        <w:jc w:val="both"/>
        <w:rPr>
          <w:rFonts w:asciiTheme="minorHAnsi" w:hAnsiTheme="minorHAnsi"/>
          <w:sz w:val="22"/>
        </w:rPr>
      </w:pPr>
    </w:p>
    <w:p w14:paraId="7214E69B" w14:textId="77777777" w:rsidR="00DD5E72" w:rsidRDefault="00DD5E72" w:rsidP="00DB5D24">
      <w:pPr>
        <w:jc w:val="both"/>
        <w:textAlignment w:val="center"/>
        <w:rPr>
          <w:rFonts w:asciiTheme="minorHAnsi" w:hAnsiTheme="minorHAnsi"/>
          <w:b/>
          <w:i/>
        </w:rPr>
      </w:pPr>
    </w:p>
    <w:p w14:paraId="0BBC70C7" w14:textId="471D76A8" w:rsidR="00DB5D24" w:rsidRPr="00060414" w:rsidRDefault="00DB5D24" w:rsidP="00DB5D24">
      <w:pPr>
        <w:jc w:val="both"/>
        <w:textAlignment w:val="center"/>
        <w:rPr>
          <w:rFonts w:asciiTheme="minorHAnsi" w:hAnsiTheme="minorHAnsi"/>
        </w:rPr>
      </w:pPr>
      <w:r>
        <w:rPr>
          <w:rFonts w:asciiTheme="minorHAnsi" w:hAnsiTheme="minorHAnsi"/>
          <w:b/>
          <w:i/>
        </w:rPr>
        <w:t xml:space="preserve">U </w:t>
      </w:r>
      <w:proofErr w:type="spellStart"/>
      <w:r w:rsidR="00823CA9">
        <w:rPr>
          <w:rFonts w:asciiTheme="minorHAnsi" w:hAnsiTheme="minorHAnsi"/>
          <w:b/>
          <w:i/>
        </w:rPr>
        <w:t>Baču</w:t>
      </w:r>
      <w:proofErr w:type="spellEnd"/>
      <w:r w:rsidR="00823CA9">
        <w:rPr>
          <w:rFonts w:asciiTheme="minorHAnsi" w:hAnsiTheme="minorHAnsi"/>
          <w:b/>
          <w:i/>
        </w:rPr>
        <w:t xml:space="preserve"> </w:t>
      </w:r>
      <w:proofErr w:type="spellStart"/>
      <w:r>
        <w:rPr>
          <w:rFonts w:asciiTheme="minorHAnsi" w:hAnsiTheme="minorHAnsi"/>
          <w:b/>
          <w:i/>
        </w:rPr>
        <w:t>postoj</w:t>
      </w:r>
      <w:r w:rsidR="00060414">
        <w:rPr>
          <w:rFonts w:asciiTheme="minorHAnsi" w:hAnsiTheme="minorHAnsi"/>
          <w:b/>
          <w:i/>
        </w:rPr>
        <w:t>i</w:t>
      </w:r>
      <w:proofErr w:type="spellEnd"/>
      <w:r w:rsidR="00060414">
        <w:rPr>
          <w:rFonts w:asciiTheme="minorHAnsi" w:hAnsiTheme="minorHAnsi"/>
          <w:b/>
          <w:i/>
        </w:rPr>
        <w:t xml:space="preserve"> </w:t>
      </w:r>
      <w:r w:rsidR="00823CA9">
        <w:rPr>
          <w:rFonts w:asciiTheme="minorHAnsi" w:hAnsiTheme="minorHAnsi"/>
          <w:b/>
          <w:i/>
        </w:rPr>
        <w:t>5</w:t>
      </w:r>
      <w:r w:rsidR="00060414">
        <w:rPr>
          <w:rFonts w:asciiTheme="minorHAnsi" w:hAnsiTheme="minorHAnsi"/>
          <w:b/>
          <w:i/>
        </w:rPr>
        <w:t xml:space="preserve"> </w:t>
      </w:r>
      <w:proofErr w:type="spellStart"/>
      <w:r>
        <w:rPr>
          <w:rFonts w:asciiTheme="minorHAnsi" w:hAnsiTheme="minorHAnsi"/>
          <w:b/>
          <w:i/>
        </w:rPr>
        <w:t>matičn</w:t>
      </w:r>
      <w:r w:rsidR="00060414">
        <w:rPr>
          <w:rFonts w:asciiTheme="minorHAnsi" w:hAnsiTheme="minorHAnsi"/>
          <w:b/>
          <w:i/>
        </w:rPr>
        <w:t>ih</w:t>
      </w:r>
      <w:proofErr w:type="spellEnd"/>
      <w:r>
        <w:rPr>
          <w:rFonts w:asciiTheme="minorHAnsi" w:hAnsiTheme="minorHAnsi"/>
          <w:b/>
          <w:i/>
        </w:rPr>
        <w:t xml:space="preserve"> </w:t>
      </w:r>
      <w:proofErr w:type="spellStart"/>
      <w:r>
        <w:rPr>
          <w:rFonts w:asciiTheme="minorHAnsi" w:hAnsiTheme="minorHAnsi"/>
          <w:b/>
          <w:i/>
        </w:rPr>
        <w:t>osnovn</w:t>
      </w:r>
      <w:r w:rsidR="00060414">
        <w:rPr>
          <w:rFonts w:asciiTheme="minorHAnsi" w:hAnsiTheme="minorHAnsi"/>
          <w:b/>
          <w:i/>
        </w:rPr>
        <w:t>ih</w:t>
      </w:r>
      <w:proofErr w:type="spellEnd"/>
      <w:r>
        <w:rPr>
          <w:rFonts w:asciiTheme="minorHAnsi" w:hAnsiTheme="minorHAnsi"/>
          <w:b/>
          <w:i/>
        </w:rPr>
        <w:t xml:space="preserve"> </w:t>
      </w:r>
      <w:proofErr w:type="spellStart"/>
      <w:r>
        <w:rPr>
          <w:rFonts w:asciiTheme="minorHAnsi" w:hAnsiTheme="minorHAnsi"/>
          <w:b/>
          <w:i/>
        </w:rPr>
        <w:t>škol</w:t>
      </w:r>
      <w:r w:rsidR="00060414">
        <w:rPr>
          <w:rFonts w:asciiTheme="minorHAnsi" w:hAnsiTheme="minorHAnsi"/>
          <w:b/>
          <w:i/>
        </w:rPr>
        <w:t>a</w:t>
      </w:r>
      <w:proofErr w:type="spellEnd"/>
      <w:r>
        <w:rPr>
          <w:rFonts w:asciiTheme="minorHAnsi" w:hAnsiTheme="minorHAnsi"/>
          <w:b/>
          <w:i/>
        </w:rPr>
        <w:t xml:space="preserve"> </w:t>
      </w:r>
      <w:proofErr w:type="spellStart"/>
      <w:r>
        <w:rPr>
          <w:rFonts w:asciiTheme="minorHAnsi" w:hAnsiTheme="minorHAnsi"/>
          <w:b/>
          <w:i/>
        </w:rPr>
        <w:t>sa</w:t>
      </w:r>
      <w:proofErr w:type="spellEnd"/>
      <w:r>
        <w:rPr>
          <w:rFonts w:asciiTheme="minorHAnsi" w:hAnsiTheme="minorHAnsi"/>
          <w:b/>
          <w:i/>
        </w:rPr>
        <w:t xml:space="preserve"> </w:t>
      </w:r>
      <w:proofErr w:type="spellStart"/>
      <w:r w:rsidR="00823CA9">
        <w:rPr>
          <w:rFonts w:asciiTheme="minorHAnsi" w:hAnsiTheme="minorHAnsi"/>
          <w:b/>
          <w:i/>
        </w:rPr>
        <w:t>samo</w:t>
      </w:r>
      <w:proofErr w:type="spellEnd"/>
      <w:r w:rsidR="00823CA9">
        <w:rPr>
          <w:rFonts w:asciiTheme="minorHAnsi" w:hAnsiTheme="minorHAnsi"/>
          <w:b/>
          <w:i/>
        </w:rPr>
        <w:t xml:space="preserve"> 1</w:t>
      </w:r>
      <w:r>
        <w:rPr>
          <w:rFonts w:asciiTheme="minorHAnsi" w:hAnsiTheme="minorHAnsi"/>
          <w:b/>
          <w:i/>
        </w:rPr>
        <w:t xml:space="preserve"> </w:t>
      </w:r>
      <w:proofErr w:type="spellStart"/>
      <w:r>
        <w:rPr>
          <w:rFonts w:asciiTheme="minorHAnsi" w:hAnsiTheme="minorHAnsi"/>
          <w:b/>
          <w:i/>
        </w:rPr>
        <w:t>područni</w:t>
      </w:r>
      <w:r w:rsidR="00823CA9">
        <w:rPr>
          <w:rFonts w:asciiTheme="minorHAnsi" w:hAnsiTheme="minorHAnsi"/>
          <w:b/>
          <w:i/>
        </w:rPr>
        <w:t>m</w:t>
      </w:r>
      <w:proofErr w:type="spellEnd"/>
      <w:r w:rsidR="00823CA9">
        <w:rPr>
          <w:rFonts w:asciiTheme="minorHAnsi" w:hAnsiTheme="minorHAnsi"/>
          <w:b/>
          <w:i/>
        </w:rPr>
        <w:t xml:space="preserve"> </w:t>
      </w:r>
      <w:r>
        <w:rPr>
          <w:rFonts w:asciiTheme="minorHAnsi" w:hAnsiTheme="minorHAnsi"/>
          <w:b/>
          <w:i/>
        </w:rPr>
        <w:t xml:space="preserve"> </w:t>
      </w:r>
      <w:proofErr w:type="spellStart"/>
      <w:r>
        <w:rPr>
          <w:rFonts w:asciiTheme="minorHAnsi" w:hAnsiTheme="minorHAnsi"/>
          <w:b/>
          <w:i/>
        </w:rPr>
        <w:t>odeljenj</w:t>
      </w:r>
      <w:r w:rsidR="00823CA9">
        <w:rPr>
          <w:rFonts w:asciiTheme="minorHAnsi" w:hAnsiTheme="minorHAnsi"/>
          <w:b/>
          <w:i/>
        </w:rPr>
        <w:t>em</w:t>
      </w:r>
      <w:proofErr w:type="spellEnd"/>
      <w:r w:rsidR="00823CA9">
        <w:rPr>
          <w:rFonts w:asciiTheme="minorHAnsi" w:hAnsiTheme="minorHAnsi"/>
          <w:b/>
          <w:i/>
        </w:rPr>
        <w:t xml:space="preserve">. </w:t>
      </w:r>
      <w:proofErr w:type="spellStart"/>
      <w:r w:rsidR="00823CA9">
        <w:rPr>
          <w:rFonts w:asciiTheme="minorHAnsi" w:hAnsiTheme="minorHAnsi"/>
        </w:rPr>
        <w:t>Čak</w:t>
      </w:r>
      <w:proofErr w:type="spellEnd"/>
      <w:r w:rsidR="00823CA9">
        <w:rPr>
          <w:rFonts w:asciiTheme="minorHAnsi" w:hAnsiTheme="minorHAnsi"/>
        </w:rPr>
        <w:t xml:space="preserve"> 4 </w:t>
      </w:r>
      <w:proofErr w:type="spellStart"/>
      <w:r w:rsidR="00823CA9">
        <w:rPr>
          <w:rFonts w:asciiTheme="minorHAnsi" w:hAnsiTheme="minorHAnsi"/>
        </w:rPr>
        <w:t>matične</w:t>
      </w:r>
      <w:proofErr w:type="spellEnd"/>
      <w:r w:rsidR="00823CA9">
        <w:rPr>
          <w:rFonts w:asciiTheme="minorHAnsi" w:hAnsiTheme="minorHAnsi"/>
        </w:rPr>
        <w:t xml:space="preserve"> </w:t>
      </w:r>
      <w:proofErr w:type="spellStart"/>
      <w:r w:rsidR="00823CA9">
        <w:rPr>
          <w:rFonts w:asciiTheme="minorHAnsi" w:hAnsiTheme="minorHAnsi"/>
        </w:rPr>
        <w:t>škole</w:t>
      </w:r>
      <w:proofErr w:type="spellEnd"/>
      <w:r w:rsidR="00823CA9">
        <w:rPr>
          <w:rFonts w:asciiTheme="minorHAnsi" w:hAnsiTheme="minorHAnsi"/>
        </w:rPr>
        <w:t xml:space="preserve"> </w:t>
      </w:r>
      <w:proofErr w:type="spellStart"/>
      <w:r w:rsidR="00823CA9">
        <w:rPr>
          <w:rFonts w:asciiTheme="minorHAnsi" w:hAnsiTheme="minorHAnsi"/>
        </w:rPr>
        <w:t>nalaze</w:t>
      </w:r>
      <w:proofErr w:type="spellEnd"/>
      <w:r w:rsidR="00823CA9">
        <w:rPr>
          <w:rFonts w:asciiTheme="minorHAnsi" w:hAnsiTheme="minorHAnsi"/>
        </w:rPr>
        <w:t xml:space="preserve"> se u </w:t>
      </w:r>
      <w:proofErr w:type="spellStart"/>
      <w:r w:rsidR="00060414">
        <w:rPr>
          <w:rFonts w:asciiTheme="minorHAnsi" w:hAnsiTheme="minorHAnsi"/>
        </w:rPr>
        <w:t>vangradskim</w:t>
      </w:r>
      <w:proofErr w:type="spellEnd"/>
      <w:r w:rsidR="00060414">
        <w:rPr>
          <w:rFonts w:asciiTheme="minorHAnsi" w:hAnsiTheme="minorHAnsi"/>
        </w:rPr>
        <w:t xml:space="preserve"> </w:t>
      </w:r>
      <w:proofErr w:type="spellStart"/>
      <w:r w:rsidR="00060414">
        <w:rPr>
          <w:rFonts w:asciiTheme="minorHAnsi" w:hAnsiTheme="minorHAnsi"/>
        </w:rPr>
        <w:t>naseljima</w:t>
      </w:r>
      <w:proofErr w:type="spellEnd"/>
      <w:r w:rsidR="0034299C">
        <w:rPr>
          <w:rFonts w:asciiTheme="minorHAnsi" w:hAnsiTheme="minorHAnsi"/>
        </w:rPr>
        <w:t xml:space="preserve"> </w:t>
      </w:r>
      <w:proofErr w:type="spellStart"/>
      <w:r w:rsidR="00823CA9">
        <w:rPr>
          <w:rFonts w:asciiTheme="minorHAnsi" w:hAnsiTheme="minorHAnsi"/>
        </w:rPr>
        <w:t>što</w:t>
      </w:r>
      <w:proofErr w:type="spellEnd"/>
      <w:r w:rsidR="00823CA9">
        <w:rPr>
          <w:rFonts w:asciiTheme="minorHAnsi" w:hAnsiTheme="minorHAnsi"/>
        </w:rPr>
        <w:t xml:space="preserve"> </w:t>
      </w:r>
      <w:proofErr w:type="spellStart"/>
      <w:r w:rsidR="00823CA9">
        <w:rPr>
          <w:rFonts w:asciiTheme="minorHAnsi" w:hAnsiTheme="minorHAnsi"/>
        </w:rPr>
        <w:t>nije</w:t>
      </w:r>
      <w:proofErr w:type="spellEnd"/>
      <w:r w:rsidR="00823CA9">
        <w:rPr>
          <w:rFonts w:asciiTheme="minorHAnsi" w:hAnsiTheme="minorHAnsi"/>
        </w:rPr>
        <w:t xml:space="preserve"> </w:t>
      </w:r>
      <w:proofErr w:type="spellStart"/>
      <w:r w:rsidR="00823CA9">
        <w:rPr>
          <w:rFonts w:asciiTheme="minorHAnsi" w:hAnsiTheme="minorHAnsi"/>
        </w:rPr>
        <w:t>uobičajeno</w:t>
      </w:r>
      <w:proofErr w:type="spellEnd"/>
      <w:r w:rsidR="00C90DF2">
        <w:rPr>
          <w:rFonts w:asciiTheme="minorHAnsi" w:hAnsiTheme="minorHAnsi"/>
        </w:rPr>
        <w:t xml:space="preserve"> (</w:t>
      </w:r>
      <w:proofErr w:type="spellStart"/>
      <w:r w:rsidR="00C90DF2">
        <w:rPr>
          <w:rFonts w:asciiTheme="minorHAnsi" w:hAnsiTheme="minorHAnsi"/>
        </w:rPr>
        <w:t>Grafikon</w:t>
      </w:r>
      <w:proofErr w:type="spellEnd"/>
      <w:r w:rsidR="00C90DF2">
        <w:rPr>
          <w:rFonts w:asciiTheme="minorHAnsi" w:hAnsiTheme="minorHAnsi"/>
        </w:rPr>
        <w:t xml:space="preserve"> 4.)</w:t>
      </w:r>
    </w:p>
    <w:p w14:paraId="5427BD77" w14:textId="77777777" w:rsidR="00060414" w:rsidRDefault="00060414" w:rsidP="00604ACF">
      <w:pPr>
        <w:textAlignment w:val="center"/>
        <w:rPr>
          <w:rFonts w:ascii="Cambria" w:hAnsi="Cambria"/>
          <w:b/>
          <w:sz w:val="22"/>
          <w:szCs w:val="22"/>
        </w:rPr>
      </w:pPr>
    </w:p>
    <w:p w14:paraId="304369A0" w14:textId="538581BA" w:rsidR="00DB5D24" w:rsidRPr="005B16AE" w:rsidRDefault="00DB5D24" w:rsidP="00DB5D24">
      <w:pPr>
        <w:jc w:val="center"/>
        <w:textAlignment w:val="center"/>
        <w:rPr>
          <w:rFonts w:ascii="Cambria" w:hAnsi="Cambria"/>
          <w:b/>
          <w:sz w:val="22"/>
          <w:szCs w:val="22"/>
        </w:rPr>
      </w:pPr>
      <w:proofErr w:type="spellStart"/>
      <w:r w:rsidRPr="005B16AE">
        <w:rPr>
          <w:rFonts w:ascii="Cambria" w:hAnsi="Cambria"/>
          <w:b/>
          <w:sz w:val="22"/>
          <w:szCs w:val="22"/>
        </w:rPr>
        <w:lastRenderedPageBreak/>
        <w:t>Grafikon</w:t>
      </w:r>
      <w:proofErr w:type="spellEnd"/>
      <w:r w:rsidRPr="005B16AE">
        <w:rPr>
          <w:rFonts w:ascii="Cambria" w:hAnsi="Cambria"/>
          <w:b/>
          <w:sz w:val="22"/>
          <w:szCs w:val="22"/>
        </w:rPr>
        <w:t xml:space="preserve"> </w:t>
      </w:r>
      <w:r w:rsidR="00C65FEF">
        <w:rPr>
          <w:rFonts w:ascii="Cambria" w:hAnsi="Cambria"/>
          <w:b/>
          <w:sz w:val="22"/>
          <w:szCs w:val="22"/>
        </w:rPr>
        <w:t>4</w:t>
      </w:r>
      <w:r w:rsidRPr="005B16AE">
        <w:rPr>
          <w:rFonts w:ascii="Cambria" w:hAnsi="Cambria"/>
          <w:b/>
          <w:sz w:val="22"/>
          <w:szCs w:val="22"/>
        </w:rPr>
        <w:t xml:space="preserve">. </w:t>
      </w:r>
      <w:proofErr w:type="spellStart"/>
      <w:r w:rsidRPr="005B16AE">
        <w:rPr>
          <w:rFonts w:ascii="Cambria" w:hAnsi="Cambria"/>
          <w:b/>
          <w:sz w:val="22"/>
          <w:szCs w:val="22"/>
        </w:rPr>
        <w:t>Osnovne</w:t>
      </w:r>
      <w:proofErr w:type="spellEnd"/>
      <w:r w:rsidRPr="005B16AE">
        <w:rPr>
          <w:rFonts w:ascii="Cambria" w:hAnsi="Cambria"/>
          <w:b/>
          <w:sz w:val="22"/>
          <w:szCs w:val="22"/>
        </w:rPr>
        <w:t xml:space="preserve"> </w:t>
      </w:r>
      <w:proofErr w:type="spellStart"/>
      <w:r w:rsidRPr="005B16AE">
        <w:rPr>
          <w:rFonts w:ascii="Cambria" w:hAnsi="Cambria"/>
          <w:b/>
          <w:sz w:val="22"/>
          <w:szCs w:val="22"/>
        </w:rPr>
        <w:t>škole</w:t>
      </w:r>
      <w:proofErr w:type="spellEnd"/>
      <w:r w:rsidRPr="005B16AE">
        <w:rPr>
          <w:rFonts w:ascii="Cambria" w:hAnsi="Cambria"/>
          <w:b/>
          <w:sz w:val="22"/>
          <w:szCs w:val="22"/>
        </w:rPr>
        <w:t xml:space="preserve"> </w:t>
      </w:r>
      <w:proofErr w:type="spellStart"/>
      <w:r w:rsidRPr="005B16AE">
        <w:rPr>
          <w:rFonts w:ascii="Cambria" w:hAnsi="Cambria"/>
          <w:b/>
          <w:sz w:val="22"/>
          <w:szCs w:val="22"/>
        </w:rPr>
        <w:t>prema</w:t>
      </w:r>
      <w:proofErr w:type="spellEnd"/>
      <w:r w:rsidRPr="005B16AE">
        <w:rPr>
          <w:rFonts w:ascii="Cambria" w:hAnsi="Cambria"/>
          <w:b/>
          <w:sz w:val="22"/>
          <w:szCs w:val="22"/>
        </w:rPr>
        <w:t xml:space="preserve"> </w:t>
      </w:r>
      <w:proofErr w:type="spellStart"/>
      <w:r w:rsidRPr="005B16AE">
        <w:rPr>
          <w:rFonts w:ascii="Cambria" w:hAnsi="Cambria"/>
          <w:b/>
          <w:sz w:val="22"/>
          <w:szCs w:val="22"/>
        </w:rPr>
        <w:t>tipu</w:t>
      </w:r>
      <w:proofErr w:type="spellEnd"/>
      <w:r w:rsidRPr="005B16AE">
        <w:rPr>
          <w:rFonts w:ascii="Cambria" w:hAnsi="Cambria"/>
          <w:b/>
          <w:sz w:val="22"/>
          <w:szCs w:val="22"/>
        </w:rPr>
        <w:t xml:space="preserve"> </w:t>
      </w:r>
      <w:proofErr w:type="spellStart"/>
      <w:r w:rsidRPr="005B16AE">
        <w:rPr>
          <w:rFonts w:ascii="Cambria" w:hAnsi="Cambria"/>
          <w:b/>
          <w:sz w:val="22"/>
          <w:szCs w:val="22"/>
        </w:rPr>
        <w:t>naselja</w:t>
      </w:r>
      <w:proofErr w:type="spellEnd"/>
      <w:r w:rsidRPr="005B16AE">
        <w:rPr>
          <w:rFonts w:ascii="Cambria" w:hAnsi="Cambria"/>
          <w:b/>
          <w:sz w:val="22"/>
          <w:szCs w:val="22"/>
        </w:rPr>
        <w:t>, 201</w:t>
      </w:r>
      <w:r w:rsidR="00296D60">
        <w:rPr>
          <w:rFonts w:ascii="Cambria" w:hAnsi="Cambria"/>
          <w:b/>
          <w:sz w:val="22"/>
          <w:szCs w:val="22"/>
        </w:rPr>
        <w:t>9</w:t>
      </w:r>
    </w:p>
    <w:p w14:paraId="2537F332" w14:textId="154061EF" w:rsidR="00DB5D24" w:rsidRDefault="00A21756" w:rsidP="00DB5D24">
      <w:pPr>
        <w:jc w:val="center"/>
        <w:rPr>
          <w:rFonts w:asciiTheme="minorHAnsi" w:hAnsiTheme="minorHAnsi"/>
          <w:b/>
          <w:smallCaps/>
        </w:rPr>
      </w:pPr>
      <w:r>
        <w:rPr>
          <w:noProof/>
        </w:rPr>
        <w:drawing>
          <wp:inline distT="0" distB="0" distL="0" distR="0" wp14:anchorId="61F9D53B" wp14:editId="4876163E">
            <wp:extent cx="5511800" cy="4851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11800" cy="4851400"/>
                    </a:xfrm>
                    <a:prstGeom prst="rect">
                      <a:avLst/>
                    </a:prstGeom>
                  </pic:spPr>
                </pic:pic>
              </a:graphicData>
            </a:graphic>
          </wp:inline>
        </w:drawing>
      </w:r>
    </w:p>
    <w:p w14:paraId="6E79975C" w14:textId="6BE2300D" w:rsidR="00DB5D24" w:rsidRDefault="00DB5D24" w:rsidP="00DB5D24">
      <w:pPr>
        <w:rPr>
          <w:rFonts w:asciiTheme="minorHAnsi" w:hAnsiTheme="minorHAnsi"/>
          <w:sz w:val="18"/>
          <w:szCs w:val="18"/>
        </w:rPr>
      </w:pPr>
      <w:r>
        <w:rPr>
          <w:rFonts w:asciiTheme="minorHAnsi" w:hAnsiTheme="minorHAnsi"/>
          <w:sz w:val="18"/>
          <w:szCs w:val="18"/>
        </w:rPr>
        <w:t xml:space="preserve">              </w:t>
      </w:r>
      <w:r w:rsidR="002C0609">
        <w:rPr>
          <w:rFonts w:asciiTheme="minorHAnsi" w:hAnsiTheme="minorHAnsi"/>
          <w:sz w:val="18"/>
          <w:szCs w:val="18"/>
        </w:rPr>
        <w:t xml:space="preserve">          </w:t>
      </w:r>
      <w:r>
        <w:rPr>
          <w:rFonts w:asciiTheme="minorHAnsi" w:hAnsiTheme="minorHAnsi"/>
          <w:sz w:val="18"/>
          <w:szCs w:val="18"/>
        </w:rPr>
        <w:t xml:space="preserve"> </w:t>
      </w:r>
      <w:proofErr w:type="spellStart"/>
      <w:r w:rsidRPr="002D6D78">
        <w:rPr>
          <w:rFonts w:asciiTheme="minorHAnsi" w:hAnsiTheme="minorHAnsi"/>
          <w:sz w:val="18"/>
          <w:szCs w:val="18"/>
        </w:rPr>
        <w:t>Izvor</w:t>
      </w:r>
      <w:proofErr w:type="spellEnd"/>
      <w:r w:rsidRPr="002D6D78">
        <w:rPr>
          <w:rFonts w:asciiTheme="minorHAnsi" w:hAnsiTheme="minorHAnsi"/>
          <w:sz w:val="18"/>
          <w:szCs w:val="18"/>
        </w:rPr>
        <w:t xml:space="preserve">: </w:t>
      </w:r>
      <w:proofErr w:type="spellStart"/>
      <w:r w:rsidRPr="002D6D78">
        <w:rPr>
          <w:rFonts w:asciiTheme="minorHAnsi" w:hAnsiTheme="minorHAnsi"/>
          <w:sz w:val="18"/>
          <w:szCs w:val="18"/>
        </w:rPr>
        <w:t>Devinfo</w:t>
      </w:r>
      <w:proofErr w:type="spellEnd"/>
      <w:r w:rsidRPr="002D6D78">
        <w:rPr>
          <w:rFonts w:asciiTheme="minorHAnsi" w:hAnsiTheme="minorHAnsi"/>
          <w:sz w:val="18"/>
          <w:szCs w:val="18"/>
        </w:rPr>
        <w:t xml:space="preserve"> – </w:t>
      </w:r>
      <w:proofErr w:type="spellStart"/>
      <w:r w:rsidRPr="002D6D78">
        <w:rPr>
          <w:rFonts w:asciiTheme="minorHAnsi" w:hAnsiTheme="minorHAnsi"/>
          <w:sz w:val="18"/>
          <w:szCs w:val="18"/>
        </w:rPr>
        <w:t>profili</w:t>
      </w:r>
      <w:proofErr w:type="spellEnd"/>
      <w:r w:rsidRPr="002D6D78">
        <w:rPr>
          <w:rFonts w:asciiTheme="minorHAnsi" w:hAnsiTheme="minorHAnsi"/>
          <w:sz w:val="18"/>
          <w:szCs w:val="18"/>
        </w:rPr>
        <w:t xml:space="preserve"> </w:t>
      </w:r>
      <w:proofErr w:type="spellStart"/>
      <w:r w:rsidRPr="002D6D78">
        <w:rPr>
          <w:rFonts w:asciiTheme="minorHAnsi" w:hAnsiTheme="minorHAnsi"/>
          <w:sz w:val="18"/>
          <w:szCs w:val="18"/>
        </w:rPr>
        <w:t>opština</w:t>
      </w:r>
      <w:proofErr w:type="spellEnd"/>
    </w:p>
    <w:p w14:paraId="5F5A5E0E" w14:textId="28D71854" w:rsidR="008B2E25" w:rsidRDefault="008B2E25" w:rsidP="00DB5D24">
      <w:pPr>
        <w:rPr>
          <w:rFonts w:asciiTheme="minorHAnsi" w:hAnsiTheme="minorHAnsi"/>
          <w:sz w:val="18"/>
          <w:szCs w:val="18"/>
        </w:rPr>
      </w:pPr>
    </w:p>
    <w:p w14:paraId="37FEB4D2" w14:textId="77777777" w:rsidR="005B1322" w:rsidRDefault="005B1322" w:rsidP="00BA68EF">
      <w:pPr>
        <w:jc w:val="both"/>
        <w:rPr>
          <w:rFonts w:asciiTheme="minorHAnsi" w:hAnsiTheme="minorHAnsi"/>
          <w:b/>
          <w:i/>
          <w:sz w:val="22"/>
          <w:szCs w:val="22"/>
        </w:rPr>
      </w:pPr>
    </w:p>
    <w:p w14:paraId="5ECD0ECD" w14:textId="6850DCB5" w:rsidR="008B2E25" w:rsidRPr="004660A9" w:rsidRDefault="004660A9" w:rsidP="00BA68EF">
      <w:pPr>
        <w:jc w:val="both"/>
        <w:rPr>
          <w:rFonts w:asciiTheme="minorHAnsi" w:hAnsiTheme="minorHAnsi"/>
          <w:sz w:val="22"/>
          <w:szCs w:val="22"/>
        </w:rPr>
      </w:pPr>
      <w:proofErr w:type="spellStart"/>
      <w:r w:rsidRPr="004660A9">
        <w:rPr>
          <w:rFonts w:asciiTheme="minorHAnsi" w:hAnsiTheme="minorHAnsi"/>
          <w:b/>
          <w:i/>
          <w:sz w:val="22"/>
          <w:szCs w:val="22"/>
        </w:rPr>
        <w:t>Prosečan</w:t>
      </w:r>
      <w:proofErr w:type="spellEnd"/>
      <w:r w:rsidRPr="004660A9">
        <w:rPr>
          <w:rFonts w:asciiTheme="minorHAnsi" w:hAnsiTheme="minorHAnsi"/>
          <w:b/>
          <w:i/>
          <w:sz w:val="22"/>
          <w:szCs w:val="22"/>
        </w:rPr>
        <w:t xml:space="preserve"> </w:t>
      </w:r>
      <w:proofErr w:type="spellStart"/>
      <w:r w:rsidRPr="004660A9">
        <w:rPr>
          <w:rFonts w:asciiTheme="minorHAnsi" w:hAnsiTheme="minorHAnsi"/>
          <w:b/>
          <w:i/>
          <w:sz w:val="22"/>
          <w:szCs w:val="22"/>
        </w:rPr>
        <w:t>broj</w:t>
      </w:r>
      <w:proofErr w:type="spellEnd"/>
      <w:r w:rsidRPr="004660A9">
        <w:rPr>
          <w:rFonts w:asciiTheme="minorHAnsi" w:hAnsiTheme="minorHAnsi"/>
          <w:b/>
          <w:i/>
          <w:sz w:val="22"/>
          <w:szCs w:val="22"/>
        </w:rPr>
        <w:t xml:space="preserve"> </w:t>
      </w:r>
      <w:proofErr w:type="spellStart"/>
      <w:r w:rsidRPr="004660A9">
        <w:rPr>
          <w:rFonts w:asciiTheme="minorHAnsi" w:hAnsiTheme="minorHAnsi"/>
          <w:b/>
          <w:i/>
          <w:sz w:val="22"/>
          <w:szCs w:val="22"/>
        </w:rPr>
        <w:t>učenika</w:t>
      </w:r>
      <w:proofErr w:type="spellEnd"/>
      <w:r w:rsidRPr="004660A9">
        <w:rPr>
          <w:rFonts w:asciiTheme="minorHAnsi" w:hAnsiTheme="minorHAnsi"/>
          <w:b/>
          <w:i/>
          <w:sz w:val="22"/>
          <w:szCs w:val="22"/>
        </w:rPr>
        <w:t xml:space="preserve"> </w:t>
      </w:r>
      <w:r w:rsidR="00393775">
        <w:rPr>
          <w:rFonts w:asciiTheme="minorHAnsi" w:hAnsiTheme="minorHAnsi"/>
          <w:b/>
          <w:i/>
          <w:sz w:val="22"/>
          <w:szCs w:val="22"/>
        </w:rPr>
        <w:t xml:space="preserve">u </w:t>
      </w:r>
      <w:proofErr w:type="spellStart"/>
      <w:r w:rsidR="00823CA9">
        <w:rPr>
          <w:rFonts w:asciiTheme="minorHAnsi" w:hAnsiTheme="minorHAnsi"/>
          <w:b/>
          <w:i/>
          <w:sz w:val="22"/>
          <w:szCs w:val="22"/>
        </w:rPr>
        <w:t>matičnim</w:t>
      </w:r>
      <w:proofErr w:type="spellEnd"/>
      <w:r w:rsidRPr="004660A9">
        <w:rPr>
          <w:rFonts w:asciiTheme="minorHAnsi" w:hAnsiTheme="minorHAnsi"/>
          <w:b/>
          <w:i/>
          <w:sz w:val="22"/>
          <w:szCs w:val="22"/>
        </w:rPr>
        <w:t xml:space="preserve"> </w:t>
      </w:r>
      <w:proofErr w:type="spellStart"/>
      <w:r w:rsidRPr="004660A9">
        <w:rPr>
          <w:rFonts w:asciiTheme="minorHAnsi" w:hAnsiTheme="minorHAnsi"/>
          <w:b/>
          <w:i/>
          <w:sz w:val="22"/>
          <w:szCs w:val="22"/>
        </w:rPr>
        <w:t>školama</w:t>
      </w:r>
      <w:proofErr w:type="spellEnd"/>
      <w:r w:rsidR="00393775">
        <w:rPr>
          <w:rFonts w:asciiTheme="minorHAnsi" w:hAnsiTheme="minorHAnsi"/>
          <w:b/>
          <w:i/>
          <w:sz w:val="22"/>
          <w:szCs w:val="22"/>
        </w:rPr>
        <w:t xml:space="preserve"> </w:t>
      </w:r>
      <w:r w:rsidR="00823CA9">
        <w:rPr>
          <w:rFonts w:asciiTheme="minorHAnsi" w:hAnsiTheme="minorHAnsi"/>
          <w:b/>
          <w:i/>
          <w:sz w:val="22"/>
          <w:szCs w:val="22"/>
        </w:rPr>
        <w:t xml:space="preserve">u </w:t>
      </w:r>
      <w:proofErr w:type="spellStart"/>
      <w:r w:rsidR="00823CA9">
        <w:rPr>
          <w:rFonts w:asciiTheme="minorHAnsi" w:hAnsiTheme="minorHAnsi"/>
          <w:b/>
          <w:i/>
          <w:sz w:val="22"/>
          <w:szCs w:val="22"/>
        </w:rPr>
        <w:t>Baču</w:t>
      </w:r>
      <w:proofErr w:type="spellEnd"/>
      <w:r w:rsidR="00823CA9">
        <w:rPr>
          <w:rFonts w:asciiTheme="minorHAnsi" w:hAnsiTheme="minorHAnsi"/>
          <w:b/>
          <w:i/>
          <w:sz w:val="22"/>
          <w:szCs w:val="22"/>
        </w:rPr>
        <w:t xml:space="preserve"> je </w:t>
      </w:r>
      <w:proofErr w:type="spellStart"/>
      <w:r w:rsidR="0029422F">
        <w:rPr>
          <w:rFonts w:asciiTheme="minorHAnsi" w:hAnsiTheme="minorHAnsi"/>
          <w:b/>
          <w:i/>
          <w:sz w:val="22"/>
          <w:szCs w:val="22"/>
        </w:rPr>
        <w:t>vrlo</w:t>
      </w:r>
      <w:proofErr w:type="spellEnd"/>
      <w:r w:rsidR="0029422F">
        <w:rPr>
          <w:rFonts w:asciiTheme="minorHAnsi" w:hAnsiTheme="minorHAnsi"/>
          <w:b/>
          <w:i/>
          <w:sz w:val="22"/>
          <w:szCs w:val="22"/>
        </w:rPr>
        <w:t xml:space="preserve"> </w:t>
      </w:r>
      <w:proofErr w:type="spellStart"/>
      <w:r w:rsidR="00BD388E">
        <w:rPr>
          <w:rFonts w:asciiTheme="minorHAnsi" w:hAnsiTheme="minorHAnsi"/>
          <w:b/>
          <w:i/>
          <w:sz w:val="22"/>
          <w:szCs w:val="22"/>
        </w:rPr>
        <w:t>nizak</w:t>
      </w:r>
      <w:proofErr w:type="spellEnd"/>
      <w:r w:rsidR="00823CA9">
        <w:rPr>
          <w:rFonts w:asciiTheme="minorHAnsi" w:hAnsiTheme="minorHAnsi"/>
          <w:b/>
          <w:i/>
          <w:sz w:val="22"/>
          <w:szCs w:val="22"/>
        </w:rPr>
        <w:t xml:space="preserve"> </w:t>
      </w:r>
      <w:proofErr w:type="spellStart"/>
      <w:r w:rsidR="0029422F">
        <w:rPr>
          <w:rFonts w:asciiTheme="minorHAnsi" w:hAnsiTheme="minorHAnsi"/>
          <w:b/>
          <w:i/>
          <w:sz w:val="22"/>
          <w:szCs w:val="22"/>
        </w:rPr>
        <w:t>dok</w:t>
      </w:r>
      <w:proofErr w:type="spellEnd"/>
      <w:r w:rsidR="0029422F">
        <w:rPr>
          <w:rFonts w:asciiTheme="minorHAnsi" w:hAnsiTheme="minorHAnsi"/>
          <w:b/>
          <w:i/>
          <w:sz w:val="22"/>
          <w:szCs w:val="22"/>
        </w:rPr>
        <w:t xml:space="preserve"> je </w:t>
      </w:r>
      <w:proofErr w:type="spellStart"/>
      <w:r w:rsidR="0029422F">
        <w:rPr>
          <w:rFonts w:asciiTheme="minorHAnsi" w:hAnsiTheme="minorHAnsi"/>
          <w:b/>
          <w:i/>
          <w:sz w:val="22"/>
          <w:szCs w:val="22"/>
        </w:rPr>
        <w:t>broj</w:t>
      </w:r>
      <w:proofErr w:type="spellEnd"/>
      <w:r w:rsidR="0029422F">
        <w:rPr>
          <w:rFonts w:asciiTheme="minorHAnsi" w:hAnsiTheme="minorHAnsi"/>
          <w:b/>
          <w:i/>
          <w:sz w:val="22"/>
          <w:szCs w:val="22"/>
        </w:rPr>
        <w:t xml:space="preserve"> </w:t>
      </w:r>
      <w:proofErr w:type="spellStart"/>
      <w:r w:rsidR="0029422F">
        <w:rPr>
          <w:rFonts w:asciiTheme="minorHAnsi" w:hAnsiTheme="minorHAnsi"/>
          <w:b/>
          <w:i/>
          <w:sz w:val="22"/>
          <w:szCs w:val="22"/>
        </w:rPr>
        <w:t>dece</w:t>
      </w:r>
      <w:proofErr w:type="spellEnd"/>
      <w:r w:rsidR="0029422F">
        <w:rPr>
          <w:rFonts w:asciiTheme="minorHAnsi" w:hAnsiTheme="minorHAnsi"/>
          <w:b/>
          <w:i/>
          <w:sz w:val="22"/>
          <w:szCs w:val="22"/>
        </w:rPr>
        <w:t xml:space="preserve"> </w:t>
      </w:r>
      <w:proofErr w:type="spellStart"/>
      <w:r w:rsidR="00604ACF">
        <w:rPr>
          <w:rFonts w:asciiTheme="minorHAnsi" w:hAnsiTheme="minorHAnsi"/>
          <w:b/>
          <w:i/>
          <w:sz w:val="22"/>
          <w:szCs w:val="22"/>
        </w:rPr>
        <w:t>nižih</w:t>
      </w:r>
      <w:proofErr w:type="spellEnd"/>
      <w:r w:rsidR="00604ACF">
        <w:rPr>
          <w:rFonts w:asciiTheme="minorHAnsi" w:hAnsiTheme="minorHAnsi"/>
          <w:b/>
          <w:i/>
          <w:sz w:val="22"/>
          <w:szCs w:val="22"/>
        </w:rPr>
        <w:t xml:space="preserve"> </w:t>
      </w:r>
      <w:proofErr w:type="spellStart"/>
      <w:r w:rsidR="00604ACF">
        <w:rPr>
          <w:rFonts w:asciiTheme="minorHAnsi" w:hAnsiTheme="minorHAnsi"/>
          <w:b/>
          <w:i/>
          <w:sz w:val="22"/>
          <w:szCs w:val="22"/>
        </w:rPr>
        <w:t>razreda</w:t>
      </w:r>
      <w:proofErr w:type="spellEnd"/>
      <w:r w:rsidR="00604ACF">
        <w:rPr>
          <w:rFonts w:asciiTheme="minorHAnsi" w:hAnsiTheme="minorHAnsi"/>
          <w:b/>
          <w:i/>
          <w:sz w:val="22"/>
          <w:szCs w:val="22"/>
        </w:rPr>
        <w:t xml:space="preserve"> </w:t>
      </w:r>
      <w:r w:rsidR="0029422F">
        <w:rPr>
          <w:rFonts w:asciiTheme="minorHAnsi" w:hAnsiTheme="minorHAnsi"/>
          <w:b/>
          <w:i/>
          <w:sz w:val="22"/>
          <w:szCs w:val="22"/>
        </w:rPr>
        <w:t xml:space="preserve">u </w:t>
      </w:r>
      <w:proofErr w:type="spellStart"/>
      <w:r w:rsidR="0029422F">
        <w:rPr>
          <w:rFonts w:asciiTheme="minorHAnsi" w:hAnsiTheme="minorHAnsi"/>
          <w:b/>
          <w:i/>
          <w:sz w:val="22"/>
          <w:szCs w:val="22"/>
        </w:rPr>
        <w:t>područnoj</w:t>
      </w:r>
      <w:proofErr w:type="spellEnd"/>
      <w:r w:rsidR="0029422F">
        <w:rPr>
          <w:rFonts w:asciiTheme="minorHAnsi" w:hAnsiTheme="minorHAnsi"/>
          <w:b/>
          <w:i/>
          <w:sz w:val="22"/>
          <w:szCs w:val="22"/>
        </w:rPr>
        <w:t xml:space="preserve"> </w:t>
      </w:r>
      <w:proofErr w:type="spellStart"/>
      <w:r w:rsidR="00604ACF">
        <w:rPr>
          <w:rFonts w:asciiTheme="minorHAnsi" w:hAnsiTheme="minorHAnsi"/>
          <w:b/>
          <w:i/>
          <w:sz w:val="22"/>
          <w:szCs w:val="22"/>
        </w:rPr>
        <w:t>relativno</w:t>
      </w:r>
      <w:proofErr w:type="spellEnd"/>
      <w:r w:rsidR="00604ACF">
        <w:rPr>
          <w:rFonts w:asciiTheme="minorHAnsi" w:hAnsiTheme="minorHAnsi"/>
          <w:b/>
          <w:i/>
          <w:sz w:val="22"/>
          <w:szCs w:val="22"/>
        </w:rPr>
        <w:t xml:space="preserve"> </w:t>
      </w:r>
      <w:proofErr w:type="spellStart"/>
      <w:r w:rsidR="00604ACF">
        <w:rPr>
          <w:rFonts w:asciiTheme="minorHAnsi" w:hAnsiTheme="minorHAnsi"/>
          <w:b/>
          <w:i/>
          <w:sz w:val="22"/>
          <w:szCs w:val="22"/>
        </w:rPr>
        <w:t>visok</w:t>
      </w:r>
      <w:proofErr w:type="spellEnd"/>
      <w:r w:rsidR="00604ACF">
        <w:rPr>
          <w:rFonts w:asciiTheme="minorHAnsi" w:hAnsiTheme="minorHAnsi"/>
          <w:b/>
          <w:i/>
          <w:sz w:val="22"/>
          <w:szCs w:val="22"/>
        </w:rPr>
        <w:t xml:space="preserve"> u </w:t>
      </w:r>
      <w:proofErr w:type="spellStart"/>
      <w:r w:rsidR="00604ACF">
        <w:rPr>
          <w:rFonts w:asciiTheme="minorHAnsi" w:hAnsiTheme="minorHAnsi"/>
          <w:b/>
          <w:i/>
          <w:sz w:val="22"/>
          <w:szCs w:val="22"/>
        </w:rPr>
        <w:t>odnosu</w:t>
      </w:r>
      <w:proofErr w:type="spellEnd"/>
      <w:r w:rsidR="0029422F">
        <w:rPr>
          <w:rFonts w:asciiTheme="minorHAnsi" w:hAnsiTheme="minorHAnsi"/>
          <w:b/>
          <w:i/>
          <w:sz w:val="22"/>
          <w:szCs w:val="22"/>
        </w:rPr>
        <w:t xml:space="preserve"> </w:t>
      </w:r>
      <w:proofErr w:type="spellStart"/>
      <w:r w:rsidR="0029422F">
        <w:rPr>
          <w:rFonts w:asciiTheme="minorHAnsi" w:hAnsiTheme="minorHAnsi"/>
          <w:b/>
          <w:i/>
          <w:sz w:val="22"/>
          <w:szCs w:val="22"/>
        </w:rPr>
        <w:t>na</w:t>
      </w:r>
      <w:proofErr w:type="spellEnd"/>
      <w:r w:rsidR="0029422F">
        <w:rPr>
          <w:rFonts w:asciiTheme="minorHAnsi" w:hAnsiTheme="minorHAnsi"/>
          <w:b/>
          <w:i/>
          <w:sz w:val="22"/>
          <w:szCs w:val="22"/>
        </w:rPr>
        <w:t xml:space="preserve"> </w:t>
      </w:r>
      <w:proofErr w:type="spellStart"/>
      <w:r w:rsidR="0029422F">
        <w:rPr>
          <w:rFonts w:asciiTheme="minorHAnsi" w:hAnsiTheme="minorHAnsi"/>
          <w:b/>
          <w:i/>
          <w:sz w:val="22"/>
          <w:szCs w:val="22"/>
        </w:rPr>
        <w:t>prosek</w:t>
      </w:r>
      <w:proofErr w:type="spellEnd"/>
      <w:r w:rsidR="0029422F">
        <w:rPr>
          <w:rFonts w:asciiTheme="minorHAnsi" w:hAnsiTheme="minorHAnsi"/>
          <w:b/>
          <w:i/>
          <w:sz w:val="22"/>
          <w:szCs w:val="22"/>
        </w:rPr>
        <w:t xml:space="preserve"> </w:t>
      </w:r>
      <w:proofErr w:type="spellStart"/>
      <w:r w:rsidR="0029422F">
        <w:rPr>
          <w:rFonts w:asciiTheme="minorHAnsi" w:hAnsiTheme="minorHAnsi"/>
          <w:b/>
          <w:i/>
          <w:sz w:val="22"/>
          <w:szCs w:val="22"/>
        </w:rPr>
        <w:t>Srbije</w:t>
      </w:r>
      <w:proofErr w:type="spellEnd"/>
      <w:r w:rsidR="0029422F">
        <w:rPr>
          <w:rFonts w:asciiTheme="minorHAnsi" w:hAnsiTheme="minorHAnsi"/>
          <w:b/>
          <w:i/>
          <w:sz w:val="22"/>
          <w:szCs w:val="22"/>
        </w:rPr>
        <w:t xml:space="preserve"> </w:t>
      </w:r>
      <w:r w:rsidR="0029422F">
        <w:rPr>
          <w:rFonts w:asciiTheme="minorHAnsi" w:hAnsiTheme="minorHAnsi"/>
          <w:sz w:val="22"/>
          <w:szCs w:val="22"/>
        </w:rPr>
        <w:t>(</w:t>
      </w:r>
      <w:proofErr w:type="spellStart"/>
      <w:r w:rsidR="0029422F">
        <w:rPr>
          <w:rFonts w:asciiTheme="minorHAnsi" w:hAnsiTheme="minorHAnsi"/>
          <w:sz w:val="22"/>
          <w:szCs w:val="22"/>
        </w:rPr>
        <w:t>Tabela</w:t>
      </w:r>
      <w:proofErr w:type="spellEnd"/>
      <w:r w:rsidR="0029422F">
        <w:rPr>
          <w:rFonts w:asciiTheme="minorHAnsi" w:hAnsiTheme="minorHAnsi"/>
          <w:sz w:val="22"/>
          <w:szCs w:val="22"/>
        </w:rPr>
        <w:t xml:space="preserve"> 4.)</w:t>
      </w:r>
      <w:r w:rsidR="00823CA9">
        <w:rPr>
          <w:rFonts w:asciiTheme="minorHAnsi" w:hAnsiTheme="minorHAnsi"/>
          <w:b/>
          <w:i/>
          <w:sz w:val="22"/>
          <w:szCs w:val="22"/>
        </w:rPr>
        <w:t xml:space="preserve">. </w:t>
      </w:r>
      <w:r w:rsidR="00D64562">
        <w:rPr>
          <w:rFonts w:asciiTheme="minorHAnsi" w:hAnsiTheme="minorHAnsi"/>
          <w:b/>
          <w:i/>
          <w:sz w:val="22"/>
          <w:szCs w:val="22"/>
        </w:rPr>
        <w:t xml:space="preserve"> </w:t>
      </w:r>
      <w:proofErr w:type="spellStart"/>
      <w:r w:rsidR="0029422F">
        <w:rPr>
          <w:rFonts w:asciiTheme="minorHAnsi" w:hAnsiTheme="minorHAnsi"/>
          <w:sz w:val="22"/>
          <w:szCs w:val="22"/>
        </w:rPr>
        <w:t>Razlog</w:t>
      </w:r>
      <w:proofErr w:type="spellEnd"/>
      <w:r w:rsidR="0029422F">
        <w:rPr>
          <w:rFonts w:asciiTheme="minorHAnsi" w:hAnsiTheme="minorHAnsi"/>
          <w:sz w:val="22"/>
          <w:szCs w:val="22"/>
        </w:rPr>
        <w:t xml:space="preserve"> je </w:t>
      </w:r>
      <w:proofErr w:type="spellStart"/>
      <w:r w:rsidR="0029422F">
        <w:rPr>
          <w:rFonts w:asciiTheme="minorHAnsi" w:hAnsiTheme="minorHAnsi"/>
          <w:sz w:val="22"/>
          <w:szCs w:val="22"/>
        </w:rPr>
        <w:t>očigledno</w:t>
      </w:r>
      <w:proofErr w:type="spellEnd"/>
      <w:r w:rsidR="0029422F">
        <w:rPr>
          <w:rFonts w:asciiTheme="minorHAnsi" w:hAnsiTheme="minorHAnsi"/>
          <w:sz w:val="22"/>
          <w:szCs w:val="22"/>
        </w:rPr>
        <w:t xml:space="preserve"> </w:t>
      </w:r>
      <w:proofErr w:type="spellStart"/>
      <w:r w:rsidR="0029422F">
        <w:rPr>
          <w:rFonts w:asciiTheme="minorHAnsi" w:hAnsiTheme="minorHAnsi"/>
          <w:sz w:val="22"/>
          <w:szCs w:val="22"/>
        </w:rPr>
        <w:t>odluka</w:t>
      </w:r>
      <w:proofErr w:type="spellEnd"/>
      <w:r w:rsidR="0029422F">
        <w:rPr>
          <w:rFonts w:asciiTheme="minorHAnsi" w:hAnsiTheme="minorHAnsi"/>
          <w:sz w:val="22"/>
          <w:szCs w:val="22"/>
        </w:rPr>
        <w:t xml:space="preserve"> da se </w:t>
      </w:r>
      <w:proofErr w:type="spellStart"/>
      <w:r w:rsidR="0029422F">
        <w:rPr>
          <w:rFonts w:asciiTheme="minorHAnsi" w:hAnsiTheme="minorHAnsi"/>
          <w:sz w:val="22"/>
          <w:szCs w:val="22"/>
        </w:rPr>
        <w:t>otvore</w:t>
      </w:r>
      <w:proofErr w:type="spellEnd"/>
      <w:r w:rsidR="0029422F">
        <w:rPr>
          <w:rFonts w:asciiTheme="minorHAnsi" w:hAnsiTheme="minorHAnsi"/>
          <w:sz w:val="22"/>
          <w:szCs w:val="22"/>
        </w:rPr>
        <w:t xml:space="preserve"> </w:t>
      </w:r>
      <w:proofErr w:type="spellStart"/>
      <w:r w:rsidR="0029422F">
        <w:rPr>
          <w:rFonts w:asciiTheme="minorHAnsi" w:hAnsiTheme="minorHAnsi"/>
          <w:sz w:val="22"/>
          <w:szCs w:val="22"/>
        </w:rPr>
        <w:t>matične</w:t>
      </w:r>
      <w:proofErr w:type="spellEnd"/>
      <w:r w:rsidR="0029422F">
        <w:rPr>
          <w:rFonts w:asciiTheme="minorHAnsi" w:hAnsiTheme="minorHAnsi"/>
          <w:sz w:val="22"/>
          <w:szCs w:val="22"/>
        </w:rPr>
        <w:t xml:space="preserve"> </w:t>
      </w:r>
      <w:proofErr w:type="spellStart"/>
      <w:r w:rsidR="0029422F">
        <w:rPr>
          <w:rFonts w:asciiTheme="minorHAnsi" w:hAnsiTheme="minorHAnsi"/>
          <w:sz w:val="22"/>
          <w:szCs w:val="22"/>
        </w:rPr>
        <w:t>škole</w:t>
      </w:r>
      <w:proofErr w:type="spellEnd"/>
      <w:r w:rsidR="0029422F">
        <w:rPr>
          <w:rFonts w:asciiTheme="minorHAnsi" w:hAnsiTheme="minorHAnsi"/>
          <w:sz w:val="22"/>
          <w:szCs w:val="22"/>
        </w:rPr>
        <w:t xml:space="preserve"> </w:t>
      </w:r>
      <w:proofErr w:type="spellStart"/>
      <w:r w:rsidR="0029422F">
        <w:rPr>
          <w:rFonts w:asciiTheme="minorHAnsi" w:hAnsiTheme="minorHAnsi"/>
          <w:sz w:val="22"/>
          <w:szCs w:val="22"/>
        </w:rPr>
        <w:t>i</w:t>
      </w:r>
      <w:proofErr w:type="spellEnd"/>
      <w:r w:rsidR="0029422F">
        <w:rPr>
          <w:rFonts w:asciiTheme="minorHAnsi" w:hAnsiTheme="minorHAnsi"/>
          <w:sz w:val="22"/>
          <w:szCs w:val="22"/>
        </w:rPr>
        <w:t xml:space="preserve"> u </w:t>
      </w:r>
      <w:proofErr w:type="spellStart"/>
      <w:r w:rsidR="0029422F">
        <w:rPr>
          <w:rFonts w:asciiTheme="minorHAnsi" w:hAnsiTheme="minorHAnsi"/>
          <w:sz w:val="22"/>
          <w:szCs w:val="22"/>
        </w:rPr>
        <w:t>vangradskim</w:t>
      </w:r>
      <w:proofErr w:type="spellEnd"/>
      <w:r w:rsidR="0029422F">
        <w:rPr>
          <w:rFonts w:asciiTheme="minorHAnsi" w:hAnsiTheme="minorHAnsi"/>
          <w:sz w:val="22"/>
          <w:szCs w:val="22"/>
        </w:rPr>
        <w:t xml:space="preserve"> </w:t>
      </w:r>
      <w:proofErr w:type="spellStart"/>
      <w:r w:rsidR="0029422F">
        <w:rPr>
          <w:rFonts w:asciiTheme="minorHAnsi" w:hAnsiTheme="minorHAnsi"/>
          <w:sz w:val="22"/>
          <w:szCs w:val="22"/>
        </w:rPr>
        <w:t>naseljima</w:t>
      </w:r>
      <w:proofErr w:type="spellEnd"/>
      <w:r w:rsidR="0029422F">
        <w:rPr>
          <w:rFonts w:asciiTheme="minorHAnsi" w:hAnsiTheme="minorHAnsi"/>
          <w:sz w:val="22"/>
          <w:szCs w:val="22"/>
        </w:rPr>
        <w:t xml:space="preserve">, </w:t>
      </w:r>
      <w:proofErr w:type="spellStart"/>
      <w:r w:rsidR="0029422F">
        <w:rPr>
          <w:rFonts w:asciiTheme="minorHAnsi" w:hAnsiTheme="minorHAnsi"/>
          <w:sz w:val="22"/>
          <w:szCs w:val="22"/>
        </w:rPr>
        <w:t>što</w:t>
      </w:r>
      <w:proofErr w:type="spellEnd"/>
      <w:r w:rsidR="0029422F">
        <w:rPr>
          <w:rFonts w:asciiTheme="minorHAnsi" w:hAnsiTheme="minorHAnsi"/>
          <w:sz w:val="22"/>
          <w:szCs w:val="22"/>
        </w:rPr>
        <w:t xml:space="preserve"> je </w:t>
      </w:r>
      <w:proofErr w:type="spellStart"/>
      <w:r w:rsidR="0029422F">
        <w:rPr>
          <w:rFonts w:asciiTheme="minorHAnsi" w:hAnsiTheme="minorHAnsi"/>
          <w:sz w:val="22"/>
          <w:szCs w:val="22"/>
        </w:rPr>
        <w:t>možda</w:t>
      </w:r>
      <w:proofErr w:type="spellEnd"/>
      <w:r w:rsidR="0029422F">
        <w:rPr>
          <w:rFonts w:asciiTheme="minorHAnsi" w:hAnsiTheme="minorHAnsi"/>
          <w:sz w:val="22"/>
          <w:szCs w:val="22"/>
        </w:rPr>
        <w:t xml:space="preserve"> </w:t>
      </w:r>
      <w:proofErr w:type="spellStart"/>
      <w:r w:rsidR="0029422F">
        <w:rPr>
          <w:rFonts w:asciiTheme="minorHAnsi" w:hAnsiTheme="minorHAnsi"/>
          <w:sz w:val="22"/>
          <w:szCs w:val="22"/>
        </w:rPr>
        <w:t>i</w:t>
      </w:r>
      <w:proofErr w:type="spellEnd"/>
      <w:r w:rsidR="0029422F">
        <w:rPr>
          <w:rFonts w:asciiTheme="minorHAnsi" w:hAnsiTheme="minorHAnsi"/>
          <w:sz w:val="22"/>
          <w:szCs w:val="22"/>
        </w:rPr>
        <w:t xml:space="preserve"> </w:t>
      </w:r>
      <w:proofErr w:type="spellStart"/>
      <w:r w:rsidR="0029422F">
        <w:rPr>
          <w:rFonts w:asciiTheme="minorHAnsi" w:hAnsiTheme="minorHAnsi"/>
          <w:sz w:val="22"/>
          <w:szCs w:val="22"/>
        </w:rPr>
        <w:t>dobar</w:t>
      </w:r>
      <w:proofErr w:type="spellEnd"/>
      <w:r w:rsidR="0029422F">
        <w:rPr>
          <w:rFonts w:asciiTheme="minorHAnsi" w:hAnsiTheme="minorHAnsi"/>
          <w:sz w:val="22"/>
          <w:szCs w:val="22"/>
        </w:rPr>
        <w:t xml:space="preserve"> </w:t>
      </w:r>
      <w:proofErr w:type="spellStart"/>
      <w:r w:rsidR="0029422F">
        <w:rPr>
          <w:rFonts w:asciiTheme="minorHAnsi" w:hAnsiTheme="minorHAnsi"/>
          <w:sz w:val="22"/>
          <w:szCs w:val="22"/>
        </w:rPr>
        <w:t>pristup</w:t>
      </w:r>
      <w:proofErr w:type="spellEnd"/>
      <w:r w:rsidR="0029422F">
        <w:rPr>
          <w:rFonts w:asciiTheme="minorHAnsi" w:hAnsiTheme="minorHAnsi"/>
          <w:sz w:val="22"/>
          <w:szCs w:val="22"/>
        </w:rPr>
        <w:t xml:space="preserve"> </w:t>
      </w:r>
      <w:proofErr w:type="spellStart"/>
      <w:r w:rsidR="0029422F">
        <w:rPr>
          <w:rFonts w:asciiTheme="minorHAnsi" w:hAnsiTheme="minorHAnsi"/>
          <w:sz w:val="22"/>
          <w:szCs w:val="22"/>
        </w:rPr>
        <w:t>ukoliko</w:t>
      </w:r>
      <w:proofErr w:type="spellEnd"/>
      <w:r w:rsidR="0029422F">
        <w:rPr>
          <w:rFonts w:asciiTheme="minorHAnsi" w:hAnsiTheme="minorHAnsi"/>
          <w:sz w:val="22"/>
          <w:szCs w:val="22"/>
        </w:rPr>
        <w:t xml:space="preserve"> u </w:t>
      </w:r>
      <w:proofErr w:type="spellStart"/>
      <w:r w:rsidR="0029422F">
        <w:rPr>
          <w:rFonts w:asciiTheme="minorHAnsi" w:hAnsiTheme="minorHAnsi"/>
          <w:sz w:val="22"/>
          <w:szCs w:val="22"/>
        </w:rPr>
        <w:t>tim</w:t>
      </w:r>
      <w:proofErr w:type="spellEnd"/>
      <w:r w:rsidR="0029422F">
        <w:rPr>
          <w:rFonts w:asciiTheme="minorHAnsi" w:hAnsiTheme="minorHAnsi"/>
          <w:sz w:val="22"/>
          <w:szCs w:val="22"/>
        </w:rPr>
        <w:t xml:space="preserve"> </w:t>
      </w:r>
      <w:proofErr w:type="spellStart"/>
      <w:r w:rsidR="0029422F">
        <w:rPr>
          <w:rFonts w:asciiTheme="minorHAnsi" w:hAnsiTheme="minorHAnsi"/>
          <w:sz w:val="22"/>
          <w:szCs w:val="22"/>
        </w:rPr>
        <w:t>školama</w:t>
      </w:r>
      <w:proofErr w:type="spellEnd"/>
      <w:r w:rsidR="0029422F">
        <w:rPr>
          <w:rFonts w:asciiTheme="minorHAnsi" w:hAnsiTheme="minorHAnsi"/>
          <w:sz w:val="22"/>
          <w:szCs w:val="22"/>
        </w:rPr>
        <w:t xml:space="preserve"> u </w:t>
      </w:r>
      <w:proofErr w:type="spellStart"/>
      <w:r w:rsidR="0029422F">
        <w:rPr>
          <w:rFonts w:asciiTheme="minorHAnsi" w:hAnsiTheme="minorHAnsi"/>
          <w:sz w:val="22"/>
          <w:szCs w:val="22"/>
        </w:rPr>
        <w:t>vangradskim</w:t>
      </w:r>
      <w:proofErr w:type="spellEnd"/>
      <w:r w:rsidR="0029422F">
        <w:rPr>
          <w:rFonts w:asciiTheme="minorHAnsi" w:hAnsiTheme="minorHAnsi"/>
          <w:sz w:val="22"/>
          <w:szCs w:val="22"/>
        </w:rPr>
        <w:t xml:space="preserve"> </w:t>
      </w:r>
      <w:proofErr w:type="spellStart"/>
      <w:r w:rsidR="0029422F">
        <w:rPr>
          <w:rFonts w:asciiTheme="minorHAnsi" w:hAnsiTheme="minorHAnsi"/>
          <w:sz w:val="22"/>
          <w:szCs w:val="22"/>
        </w:rPr>
        <w:t>naseljima</w:t>
      </w:r>
      <w:proofErr w:type="spellEnd"/>
      <w:r w:rsidR="0029422F">
        <w:rPr>
          <w:rFonts w:asciiTheme="minorHAnsi" w:hAnsiTheme="minorHAnsi"/>
          <w:sz w:val="22"/>
          <w:szCs w:val="22"/>
        </w:rPr>
        <w:t xml:space="preserve"> </w:t>
      </w:r>
      <w:proofErr w:type="spellStart"/>
      <w:r w:rsidR="0029422F">
        <w:rPr>
          <w:rFonts w:asciiTheme="minorHAnsi" w:hAnsiTheme="minorHAnsi"/>
          <w:sz w:val="22"/>
          <w:szCs w:val="22"/>
        </w:rPr>
        <w:t>broj</w:t>
      </w:r>
      <w:proofErr w:type="spellEnd"/>
      <w:r w:rsidR="0029422F">
        <w:rPr>
          <w:rFonts w:asciiTheme="minorHAnsi" w:hAnsiTheme="minorHAnsi"/>
          <w:sz w:val="22"/>
          <w:szCs w:val="22"/>
        </w:rPr>
        <w:t xml:space="preserve"> </w:t>
      </w:r>
      <w:proofErr w:type="spellStart"/>
      <w:r w:rsidR="0029422F">
        <w:rPr>
          <w:rFonts w:asciiTheme="minorHAnsi" w:hAnsiTheme="minorHAnsi"/>
          <w:sz w:val="22"/>
          <w:szCs w:val="22"/>
        </w:rPr>
        <w:t>učenika</w:t>
      </w:r>
      <w:proofErr w:type="spellEnd"/>
      <w:r w:rsidR="0029422F">
        <w:rPr>
          <w:rFonts w:asciiTheme="minorHAnsi" w:hAnsiTheme="minorHAnsi"/>
          <w:sz w:val="22"/>
          <w:szCs w:val="22"/>
        </w:rPr>
        <w:t xml:space="preserve"> </w:t>
      </w:r>
      <w:proofErr w:type="spellStart"/>
      <w:r w:rsidR="0029422F">
        <w:rPr>
          <w:rFonts w:asciiTheme="minorHAnsi" w:hAnsiTheme="minorHAnsi"/>
          <w:sz w:val="22"/>
          <w:szCs w:val="22"/>
        </w:rPr>
        <w:t>nije</w:t>
      </w:r>
      <w:proofErr w:type="spellEnd"/>
      <w:r w:rsidR="0029422F">
        <w:rPr>
          <w:rFonts w:asciiTheme="minorHAnsi" w:hAnsiTheme="minorHAnsi"/>
          <w:sz w:val="22"/>
          <w:szCs w:val="22"/>
        </w:rPr>
        <w:t xml:space="preserve"> previse </w:t>
      </w:r>
      <w:proofErr w:type="spellStart"/>
      <w:r w:rsidR="0029422F">
        <w:rPr>
          <w:rFonts w:asciiTheme="minorHAnsi" w:hAnsiTheme="minorHAnsi"/>
          <w:sz w:val="22"/>
          <w:szCs w:val="22"/>
        </w:rPr>
        <w:t>nizak</w:t>
      </w:r>
      <w:proofErr w:type="spellEnd"/>
      <w:r w:rsidR="0029422F">
        <w:rPr>
          <w:rFonts w:asciiTheme="minorHAnsi" w:hAnsiTheme="minorHAnsi"/>
          <w:sz w:val="22"/>
          <w:szCs w:val="22"/>
        </w:rPr>
        <w:t xml:space="preserve">, o </w:t>
      </w:r>
      <w:proofErr w:type="spellStart"/>
      <w:r w:rsidR="0029422F">
        <w:rPr>
          <w:rFonts w:asciiTheme="minorHAnsi" w:hAnsiTheme="minorHAnsi"/>
          <w:sz w:val="22"/>
          <w:szCs w:val="22"/>
        </w:rPr>
        <w:t>čemu</w:t>
      </w:r>
      <w:proofErr w:type="spellEnd"/>
      <w:r w:rsidR="0029422F">
        <w:rPr>
          <w:rFonts w:asciiTheme="minorHAnsi" w:hAnsiTheme="minorHAnsi"/>
          <w:sz w:val="22"/>
          <w:szCs w:val="22"/>
        </w:rPr>
        <w:t xml:space="preserve"> </w:t>
      </w:r>
      <w:proofErr w:type="spellStart"/>
      <w:r w:rsidR="0029422F">
        <w:rPr>
          <w:rFonts w:asciiTheme="minorHAnsi" w:hAnsiTheme="minorHAnsi"/>
          <w:sz w:val="22"/>
          <w:szCs w:val="22"/>
        </w:rPr>
        <w:t>nemamo</w:t>
      </w:r>
      <w:proofErr w:type="spellEnd"/>
      <w:r w:rsidR="0029422F">
        <w:rPr>
          <w:rFonts w:asciiTheme="minorHAnsi" w:hAnsiTheme="minorHAnsi"/>
          <w:sz w:val="22"/>
          <w:szCs w:val="22"/>
        </w:rPr>
        <w:t xml:space="preserve"> </w:t>
      </w:r>
      <w:proofErr w:type="spellStart"/>
      <w:r w:rsidR="0029422F">
        <w:rPr>
          <w:rFonts w:asciiTheme="minorHAnsi" w:hAnsiTheme="minorHAnsi"/>
          <w:sz w:val="22"/>
          <w:szCs w:val="22"/>
        </w:rPr>
        <w:t>podatke</w:t>
      </w:r>
      <w:proofErr w:type="spellEnd"/>
      <w:r w:rsidR="0029422F">
        <w:rPr>
          <w:rFonts w:asciiTheme="minorHAnsi" w:hAnsiTheme="minorHAnsi"/>
          <w:sz w:val="22"/>
          <w:szCs w:val="22"/>
        </w:rPr>
        <w:t xml:space="preserve"> </w:t>
      </w:r>
    </w:p>
    <w:p w14:paraId="587E3A38" w14:textId="77777777" w:rsidR="00954416" w:rsidRDefault="00954416" w:rsidP="00DB5D24">
      <w:pPr>
        <w:rPr>
          <w:rFonts w:asciiTheme="minorHAnsi" w:hAnsiTheme="minorHAnsi"/>
          <w:sz w:val="18"/>
          <w:szCs w:val="18"/>
        </w:rPr>
      </w:pPr>
    </w:p>
    <w:p w14:paraId="5931A473" w14:textId="77777777" w:rsidR="005B1322" w:rsidRDefault="005B1322" w:rsidP="00DB5D24">
      <w:pPr>
        <w:rPr>
          <w:rFonts w:asciiTheme="minorHAnsi" w:hAnsiTheme="minorHAnsi"/>
          <w:b/>
        </w:rPr>
      </w:pPr>
    </w:p>
    <w:p w14:paraId="75944BB3" w14:textId="77777777" w:rsidR="005B1322" w:rsidRDefault="005B1322" w:rsidP="00DB5D24">
      <w:pPr>
        <w:rPr>
          <w:rFonts w:asciiTheme="minorHAnsi" w:hAnsiTheme="minorHAnsi"/>
          <w:b/>
        </w:rPr>
      </w:pPr>
    </w:p>
    <w:p w14:paraId="1FCD7FE0" w14:textId="66F71AEE" w:rsidR="005B1322" w:rsidRDefault="005B1322" w:rsidP="00DB5D24">
      <w:pPr>
        <w:rPr>
          <w:rFonts w:asciiTheme="minorHAnsi" w:hAnsiTheme="minorHAnsi"/>
          <w:b/>
        </w:rPr>
      </w:pPr>
    </w:p>
    <w:p w14:paraId="30D0F780" w14:textId="2D4ECC92" w:rsidR="008E333C" w:rsidRDefault="008E333C" w:rsidP="00DB5D24">
      <w:pPr>
        <w:rPr>
          <w:rFonts w:asciiTheme="minorHAnsi" w:hAnsiTheme="minorHAnsi"/>
          <w:b/>
        </w:rPr>
      </w:pPr>
    </w:p>
    <w:p w14:paraId="430AC02D" w14:textId="0E7B4E99" w:rsidR="00061868" w:rsidRDefault="00061868" w:rsidP="00DB5D24">
      <w:pPr>
        <w:rPr>
          <w:rFonts w:asciiTheme="minorHAnsi" w:hAnsiTheme="minorHAnsi"/>
          <w:b/>
        </w:rPr>
      </w:pPr>
    </w:p>
    <w:p w14:paraId="2B830BAA" w14:textId="77777777" w:rsidR="00061868" w:rsidRDefault="00061868" w:rsidP="00DB5D24">
      <w:pPr>
        <w:rPr>
          <w:rFonts w:asciiTheme="minorHAnsi" w:hAnsiTheme="minorHAnsi"/>
          <w:b/>
        </w:rPr>
      </w:pPr>
    </w:p>
    <w:p w14:paraId="18966696" w14:textId="5CEA3659" w:rsidR="008E333C" w:rsidRDefault="008E333C" w:rsidP="00DB5D24">
      <w:pPr>
        <w:rPr>
          <w:rFonts w:asciiTheme="minorHAnsi" w:hAnsiTheme="minorHAnsi"/>
          <w:b/>
        </w:rPr>
      </w:pPr>
    </w:p>
    <w:p w14:paraId="2033D478" w14:textId="2F47726C" w:rsidR="008E333C" w:rsidRDefault="008E333C" w:rsidP="00DB5D24">
      <w:pPr>
        <w:rPr>
          <w:rFonts w:asciiTheme="minorHAnsi" w:hAnsiTheme="minorHAnsi"/>
          <w:b/>
        </w:rPr>
      </w:pPr>
    </w:p>
    <w:p w14:paraId="62FD7791" w14:textId="77777777" w:rsidR="00604ACF" w:rsidRDefault="00604ACF" w:rsidP="00DB5D24">
      <w:pPr>
        <w:rPr>
          <w:rFonts w:asciiTheme="minorHAnsi" w:hAnsiTheme="minorHAnsi"/>
          <w:b/>
        </w:rPr>
      </w:pPr>
    </w:p>
    <w:p w14:paraId="6E7FFAA6" w14:textId="77777777" w:rsidR="005B1322" w:rsidRDefault="005B1322" w:rsidP="00DB5D24">
      <w:pPr>
        <w:rPr>
          <w:rFonts w:asciiTheme="minorHAnsi" w:hAnsiTheme="minorHAnsi"/>
          <w:b/>
        </w:rPr>
      </w:pPr>
    </w:p>
    <w:p w14:paraId="64A56579" w14:textId="58CE024B" w:rsidR="000D4C6F" w:rsidRPr="005B1322" w:rsidRDefault="000D4C6F" w:rsidP="00DB5D24">
      <w:pPr>
        <w:rPr>
          <w:rFonts w:asciiTheme="minorHAnsi" w:hAnsiTheme="minorHAnsi"/>
          <w:b/>
        </w:rPr>
      </w:pPr>
      <w:proofErr w:type="spellStart"/>
      <w:r w:rsidRPr="00954416">
        <w:rPr>
          <w:rFonts w:asciiTheme="minorHAnsi" w:hAnsiTheme="minorHAnsi"/>
          <w:b/>
        </w:rPr>
        <w:lastRenderedPageBreak/>
        <w:t>Tabela</w:t>
      </w:r>
      <w:proofErr w:type="spellEnd"/>
      <w:r w:rsidRPr="00954416">
        <w:rPr>
          <w:rFonts w:asciiTheme="minorHAnsi" w:hAnsiTheme="minorHAnsi"/>
          <w:b/>
        </w:rPr>
        <w:t xml:space="preserve"> </w:t>
      </w:r>
      <w:r w:rsidR="009A51E8">
        <w:rPr>
          <w:rFonts w:asciiTheme="minorHAnsi" w:hAnsiTheme="minorHAnsi"/>
          <w:b/>
        </w:rPr>
        <w:t>4</w:t>
      </w:r>
      <w:r w:rsidRPr="00954416">
        <w:rPr>
          <w:rFonts w:asciiTheme="minorHAnsi" w:hAnsiTheme="minorHAnsi"/>
          <w:b/>
        </w:rPr>
        <w:t xml:space="preserve">. </w:t>
      </w:r>
      <w:proofErr w:type="spellStart"/>
      <w:r w:rsidRPr="00954416">
        <w:rPr>
          <w:rFonts w:asciiTheme="minorHAnsi" w:hAnsiTheme="minorHAnsi"/>
          <w:b/>
        </w:rPr>
        <w:t>Prosečan</w:t>
      </w:r>
      <w:proofErr w:type="spellEnd"/>
      <w:r w:rsidRPr="00954416">
        <w:rPr>
          <w:rFonts w:asciiTheme="minorHAnsi" w:hAnsiTheme="minorHAnsi"/>
          <w:b/>
        </w:rPr>
        <w:t xml:space="preserve"> </w:t>
      </w:r>
      <w:proofErr w:type="spellStart"/>
      <w:r w:rsidRPr="00954416">
        <w:rPr>
          <w:rFonts w:asciiTheme="minorHAnsi" w:hAnsiTheme="minorHAnsi"/>
          <w:b/>
        </w:rPr>
        <w:t>broj</w:t>
      </w:r>
      <w:proofErr w:type="spellEnd"/>
      <w:r w:rsidRPr="00954416">
        <w:rPr>
          <w:rFonts w:asciiTheme="minorHAnsi" w:hAnsiTheme="minorHAnsi"/>
          <w:b/>
        </w:rPr>
        <w:t xml:space="preserve"> </w:t>
      </w:r>
      <w:proofErr w:type="spellStart"/>
      <w:r w:rsidRPr="00954416">
        <w:rPr>
          <w:rFonts w:asciiTheme="minorHAnsi" w:hAnsiTheme="minorHAnsi"/>
          <w:b/>
        </w:rPr>
        <w:t>učenika</w:t>
      </w:r>
      <w:proofErr w:type="spellEnd"/>
      <w:r w:rsidRPr="00954416">
        <w:rPr>
          <w:rFonts w:asciiTheme="minorHAnsi" w:hAnsiTheme="minorHAnsi"/>
          <w:b/>
        </w:rPr>
        <w:t xml:space="preserve"> </w:t>
      </w:r>
      <w:r w:rsidR="00954416" w:rsidRPr="00954416">
        <w:rPr>
          <w:rFonts w:asciiTheme="minorHAnsi" w:hAnsiTheme="minorHAnsi"/>
          <w:b/>
        </w:rPr>
        <w:t xml:space="preserve">u </w:t>
      </w:r>
      <w:proofErr w:type="spellStart"/>
      <w:r w:rsidR="00954416" w:rsidRPr="00954416">
        <w:rPr>
          <w:rFonts w:asciiTheme="minorHAnsi" w:hAnsiTheme="minorHAnsi"/>
          <w:b/>
        </w:rPr>
        <w:t>školama</w:t>
      </w:r>
      <w:proofErr w:type="spellEnd"/>
      <w:r w:rsidR="008E333C">
        <w:rPr>
          <w:rFonts w:asciiTheme="minorHAnsi" w:hAnsiTheme="minorHAnsi"/>
          <w:b/>
        </w:rPr>
        <w:t>, 2019.</w:t>
      </w:r>
    </w:p>
    <w:tbl>
      <w:tblPr>
        <w:tblW w:w="6860" w:type="dxa"/>
        <w:tblLook w:val="04A0" w:firstRow="1" w:lastRow="0" w:firstColumn="1" w:lastColumn="0" w:noHBand="0" w:noVBand="1"/>
      </w:tblPr>
      <w:tblGrid>
        <w:gridCol w:w="2000"/>
        <w:gridCol w:w="1560"/>
        <w:gridCol w:w="1660"/>
        <w:gridCol w:w="1640"/>
      </w:tblGrid>
      <w:tr w:rsidR="00954416" w:rsidRPr="00954416" w14:paraId="206B38B0" w14:textId="77777777" w:rsidTr="00823CA9">
        <w:trPr>
          <w:trHeight w:val="708"/>
        </w:trPr>
        <w:tc>
          <w:tcPr>
            <w:tcW w:w="2000" w:type="dxa"/>
            <w:tcBorders>
              <w:top w:val="single" w:sz="12" w:space="0" w:color="2F5496" w:themeColor="accent1" w:themeShade="BF"/>
              <w:left w:val="nil"/>
              <w:bottom w:val="single" w:sz="12" w:space="0" w:color="2F5496" w:themeColor="accent1" w:themeShade="BF"/>
              <w:right w:val="nil"/>
            </w:tcBorders>
            <w:shd w:val="clear" w:color="auto" w:fill="auto"/>
            <w:vAlign w:val="center"/>
            <w:hideMark/>
          </w:tcPr>
          <w:p w14:paraId="794F0FAB" w14:textId="5A20DE82" w:rsidR="00954416" w:rsidRPr="00D15CE4" w:rsidRDefault="00954416" w:rsidP="00954416">
            <w:pPr>
              <w:jc w:val="right"/>
              <w:rPr>
                <w:rFonts w:ascii="Calibri" w:hAnsi="Calibri" w:cs="Calibri"/>
                <w:color w:val="000000"/>
                <w:sz w:val="21"/>
                <w:szCs w:val="21"/>
              </w:rPr>
            </w:pPr>
          </w:p>
        </w:tc>
        <w:tc>
          <w:tcPr>
            <w:tcW w:w="1560" w:type="dxa"/>
            <w:tcBorders>
              <w:top w:val="single" w:sz="12" w:space="0" w:color="2F5496" w:themeColor="accent1" w:themeShade="BF"/>
              <w:left w:val="nil"/>
              <w:bottom w:val="single" w:sz="12" w:space="0" w:color="2F5496" w:themeColor="accent1" w:themeShade="BF"/>
              <w:right w:val="nil"/>
            </w:tcBorders>
            <w:shd w:val="clear" w:color="auto" w:fill="auto"/>
            <w:vAlign w:val="center"/>
            <w:hideMark/>
          </w:tcPr>
          <w:p w14:paraId="6918FBDE" w14:textId="1035929F" w:rsidR="00954416" w:rsidRPr="00D15CE4" w:rsidRDefault="00823CA9" w:rsidP="00954416">
            <w:pPr>
              <w:jc w:val="center"/>
              <w:rPr>
                <w:rFonts w:ascii="Calibri" w:hAnsi="Calibri" w:cs="Calibri"/>
                <w:b/>
                <w:bCs/>
                <w:color w:val="000000"/>
                <w:sz w:val="21"/>
                <w:szCs w:val="21"/>
              </w:rPr>
            </w:pPr>
            <w:proofErr w:type="spellStart"/>
            <w:r>
              <w:rPr>
                <w:rFonts w:ascii="Calibri" w:hAnsi="Calibri" w:cs="Calibri"/>
                <w:b/>
                <w:bCs/>
                <w:color w:val="000000"/>
                <w:sz w:val="21"/>
                <w:szCs w:val="21"/>
              </w:rPr>
              <w:t>Bač</w:t>
            </w:r>
            <w:proofErr w:type="spellEnd"/>
          </w:p>
        </w:tc>
        <w:tc>
          <w:tcPr>
            <w:tcW w:w="1660" w:type="dxa"/>
            <w:tcBorders>
              <w:top w:val="single" w:sz="12" w:space="0" w:color="2F5496" w:themeColor="accent1" w:themeShade="BF"/>
              <w:left w:val="nil"/>
              <w:bottom w:val="single" w:sz="12" w:space="0" w:color="2F5496" w:themeColor="accent1" w:themeShade="BF"/>
              <w:right w:val="nil"/>
            </w:tcBorders>
            <w:shd w:val="clear" w:color="auto" w:fill="auto"/>
            <w:vAlign w:val="center"/>
            <w:hideMark/>
          </w:tcPr>
          <w:p w14:paraId="7E837173" w14:textId="0B6B9FD2" w:rsidR="00954416" w:rsidRPr="00D15CE4" w:rsidRDefault="00823CA9" w:rsidP="00954416">
            <w:pPr>
              <w:jc w:val="center"/>
              <w:rPr>
                <w:rFonts w:ascii="Calibri" w:hAnsi="Calibri" w:cs="Calibri"/>
                <w:b/>
                <w:bCs/>
                <w:color w:val="000000"/>
                <w:sz w:val="21"/>
                <w:szCs w:val="21"/>
              </w:rPr>
            </w:pPr>
            <w:proofErr w:type="spellStart"/>
            <w:r>
              <w:rPr>
                <w:rFonts w:ascii="Calibri" w:hAnsi="Calibri" w:cs="Calibri"/>
                <w:b/>
                <w:bCs/>
                <w:color w:val="000000"/>
                <w:sz w:val="21"/>
                <w:szCs w:val="21"/>
              </w:rPr>
              <w:t>Južno</w:t>
            </w:r>
            <w:r w:rsidR="00F00F78">
              <w:rPr>
                <w:rFonts w:ascii="Calibri" w:hAnsi="Calibri" w:cs="Calibri"/>
                <w:b/>
                <w:bCs/>
                <w:color w:val="000000"/>
                <w:sz w:val="21"/>
                <w:szCs w:val="21"/>
              </w:rPr>
              <w:t>bačka</w:t>
            </w:r>
            <w:proofErr w:type="spellEnd"/>
            <w:r>
              <w:rPr>
                <w:rFonts w:ascii="Calibri" w:hAnsi="Calibri" w:cs="Calibri"/>
                <w:b/>
                <w:bCs/>
                <w:color w:val="000000"/>
                <w:sz w:val="21"/>
                <w:szCs w:val="21"/>
              </w:rPr>
              <w:t xml:space="preserve"> oblast</w:t>
            </w:r>
          </w:p>
        </w:tc>
        <w:tc>
          <w:tcPr>
            <w:tcW w:w="1640" w:type="dxa"/>
            <w:tcBorders>
              <w:top w:val="single" w:sz="12" w:space="0" w:color="2F5496" w:themeColor="accent1" w:themeShade="BF"/>
              <w:left w:val="nil"/>
              <w:bottom w:val="single" w:sz="12" w:space="0" w:color="2F5496" w:themeColor="accent1" w:themeShade="BF"/>
              <w:right w:val="nil"/>
            </w:tcBorders>
            <w:shd w:val="clear" w:color="auto" w:fill="auto"/>
            <w:vAlign w:val="center"/>
            <w:hideMark/>
          </w:tcPr>
          <w:p w14:paraId="13A44802" w14:textId="77777777" w:rsidR="00954416" w:rsidRPr="00D15CE4" w:rsidRDefault="00954416" w:rsidP="00954416">
            <w:pPr>
              <w:jc w:val="center"/>
              <w:rPr>
                <w:rFonts w:ascii="Calibri" w:hAnsi="Calibri" w:cs="Calibri"/>
                <w:b/>
                <w:bCs/>
                <w:color w:val="000000"/>
                <w:sz w:val="21"/>
                <w:szCs w:val="21"/>
              </w:rPr>
            </w:pPr>
            <w:proofErr w:type="spellStart"/>
            <w:r w:rsidRPr="00D15CE4">
              <w:rPr>
                <w:rFonts w:ascii="Calibri" w:hAnsi="Calibri" w:cs="Calibri"/>
                <w:b/>
                <w:bCs/>
                <w:color w:val="000000"/>
                <w:sz w:val="21"/>
                <w:szCs w:val="21"/>
              </w:rPr>
              <w:t>Srbija</w:t>
            </w:r>
            <w:proofErr w:type="spellEnd"/>
          </w:p>
        </w:tc>
      </w:tr>
      <w:tr w:rsidR="00954416" w:rsidRPr="00954416" w14:paraId="181E913A" w14:textId="77777777" w:rsidTr="00954416">
        <w:trPr>
          <w:trHeight w:val="480"/>
        </w:trPr>
        <w:tc>
          <w:tcPr>
            <w:tcW w:w="2000" w:type="dxa"/>
            <w:tcBorders>
              <w:top w:val="single" w:sz="12" w:space="0" w:color="2F5496" w:themeColor="accent1" w:themeShade="BF"/>
              <w:left w:val="nil"/>
              <w:bottom w:val="nil"/>
              <w:right w:val="nil"/>
            </w:tcBorders>
            <w:shd w:val="clear" w:color="auto" w:fill="auto"/>
            <w:vAlign w:val="center"/>
            <w:hideMark/>
          </w:tcPr>
          <w:p w14:paraId="4C6A881C" w14:textId="77777777" w:rsidR="00954416" w:rsidRPr="00D15CE4" w:rsidRDefault="00954416" w:rsidP="00954416">
            <w:pPr>
              <w:jc w:val="center"/>
              <w:rPr>
                <w:rFonts w:ascii="Calibri" w:hAnsi="Calibri" w:cs="Calibri"/>
                <w:b/>
                <w:bCs/>
                <w:color w:val="000000"/>
                <w:sz w:val="21"/>
                <w:szCs w:val="21"/>
              </w:rPr>
            </w:pPr>
          </w:p>
        </w:tc>
        <w:tc>
          <w:tcPr>
            <w:tcW w:w="4860" w:type="dxa"/>
            <w:gridSpan w:val="3"/>
            <w:tcBorders>
              <w:top w:val="single" w:sz="12" w:space="0" w:color="2F5496" w:themeColor="accent1" w:themeShade="BF"/>
              <w:left w:val="nil"/>
              <w:bottom w:val="nil"/>
              <w:right w:val="nil"/>
            </w:tcBorders>
            <w:shd w:val="clear" w:color="auto" w:fill="auto"/>
            <w:noWrap/>
            <w:vAlign w:val="bottom"/>
            <w:hideMark/>
          </w:tcPr>
          <w:p w14:paraId="2DF481A6" w14:textId="77777777" w:rsidR="00954416" w:rsidRPr="00D15CE4" w:rsidRDefault="00954416" w:rsidP="00954416">
            <w:pPr>
              <w:jc w:val="center"/>
              <w:rPr>
                <w:rFonts w:ascii="Calibri" w:hAnsi="Calibri" w:cs="Calibri"/>
                <w:i/>
                <w:iCs/>
                <w:color w:val="000000"/>
                <w:sz w:val="21"/>
                <w:szCs w:val="21"/>
              </w:rPr>
            </w:pPr>
            <w:proofErr w:type="spellStart"/>
            <w:r w:rsidRPr="00D15CE4">
              <w:rPr>
                <w:rFonts w:ascii="Calibri" w:hAnsi="Calibri" w:cs="Calibri"/>
                <w:i/>
                <w:iCs/>
                <w:color w:val="000000"/>
                <w:sz w:val="21"/>
                <w:szCs w:val="21"/>
              </w:rPr>
              <w:t>Matične</w:t>
            </w:r>
            <w:proofErr w:type="spellEnd"/>
            <w:r w:rsidRPr="00D15CE4">
              <w:rPr>
                <w:rFonts w:ascii="Calibri" w:hAnsi="Calibri" w:cs="Calibri"/>
                <w:i/>
                <w:iCs/>
                <w:color w:val="000000"/>
                <w:sz w:val="21"/>
                <w:szCs w:val="21"/>
              </w:rPr>
              <w:t xml:space="preserve"> </w:t>
            </w:r>
            <w:proofErr w:type="spellStart"/>
            <w:r w:rsidRPr="00D15CE4">
              <w:rPr>
                <w:rFonts w:ascii="Calibri" w:hAnsi="Calibri" w:cs="Calibri"/>
                <w:i/>
                <w:iCs/>
                <w:color w:val="000000"/>
                <w:sz w:val="21"/>
                <w:szCs w:val="21"/>
              </w:rPr>
              <w:t>škole</w:t>
            </w:r>
            <w:proofErr w:type="spellEnd"/>
          </w:p>
        </w:tc>
      </w:tr>
      <w:tr w:rsidR="00954416" w:rsidRPr="00954416" w14:paraId="714468A6" w14:textId="77777777" w:rsidTr="00823CA9">
        <w:trPr>
          <w:trHeight w:val="500"/>
        </w:trPr>
        <w:tc>
          <w:tcPr>
            <w:tcW w:w="2000" w:type="dxa"/>
            <w:tcBorders>
              <w:top w:val="nil"/>
              <w:left w:val="nil"/>
              <w:bottom w:val="nil"/>
              <w:right w:val="nil"/>
            </w:tcBorders>
            <w:shd w:val="clear" w:color="auto" w:fill="auto"/>
            <w:vAlign w:val="center"/>
            <w:hideMark/>
          </w:tcPr>
          <w:p w14:paraId="67B62254" w14:textId="77777777" w:rsidR="00954416" w:rsidRPr="00D15CE4" w:rsidRDefault="00954416" w:rsidP="00954416">
            <w:pPr>
              <w:rPr>
                <w:rFonts w:ascii="Calibri" w:hAnsi="Calibri" w:cs="Calibri"/>
                <w:color w:val="000000"/>
                <w:sz w:val="21"/>
                <w:szCs w:val="21"/>
              </w:rPr>
            </w:pPr>
            <w:proofErr w:type="spellStart"/>
            <w:r w:rsidRPr="00D15CE4">
              <w:rPr>
                <w:rFonts w:ascii="Calibri" w:hAnsi="Calibri" w:cs="Calibri"/>
                <w:color w:val="000000"/>
                <w:sz w:val="21"/>
                <w:szCs w:val="21"/>
              </w:rPr>
              <w:t>Niži</w:t>
            </w:r>
            <w:proofErr w:type="spellEnd"/>
            <w:r w:rsidRPr="00D15CE4">
              <w:rPr>
                <w:rFonts w:ascii="Calibri" w:hAnsi="Calibri" w:cs="Calibri"/>
                <w:color w:val="000000"/>
                <w:sz w:val="21"/>
                <w:szCs w:val="21"/>
              </w:rPr>
              <w:t xml:space="preserve"> </w:t>
            </w:r>
            <w:proofErr w:type="spellStart"/>
            <w:r w:rsidRPr="00D15CE4">
              <w:rPr>
                <w:rFonts w:ascii="Calibri" w:hAnsi="Calibri" w:cs="Calibri"/>
                <w:color w:val="000000"/>
                <w:sz w:val="21"/>
                <w:szCs w:val="21"/>
              </w:rPr>
              <w:t>razredi</w:t>
            </w:r>
            <w:proofErr w:type="spellEnd"/>
            <w:r w:rsidRPr="00D15CE4">
              <w:rPr>
                <w:rFonts w:ascii="Calibri" w:hAnsi="Calibri" w:cs="Calibri"/>
                <w:color w:val="000000"/>
                <w:sz w:val="21"/>
                <w:szCs w:val="21"/>
              </w:rPr>
              <w:t xml:space="preserve"> I-IV</w:t>
            </w:r>
          </w:p>
        </w:tc>
        <w:tc>
          <w:tcPr>
            <w:tcW w:w="1560" w:type="dxa"/>
            <w:tcBorders>
              <w:top w:val="nil"/>
              <w:left w:val="nil"/>
              <w:bottom w:val="nil"/>
              <w:right w:val="nil"/>
            </w:tcBorders>
            <w:shd w:val="clear" w:color="auto" w:fill="auto"/>
            <w:noWrap/>
            <w:vAlign w:val="center"/>
          </w:tcPr>
          <w:p w14:paraId="514FDC90" w14:textId="26CF19AB" w:rsidR="00954416" w:rsidRPr="00D15CE4" w:rsidRDefault="00823CA9" w:rsidP="00954416">
            <w:pPr>
              <w:jc w:val="center"/>
              <w:rPr>
                <w:rFonts w:ascii="Calibri" w:hAnsi="Calibri" w:cs="Calibri"/>
                <w:color w:val="000000"/>
                <w:sz w:val="21"/>
                <w:szCs w:val="21"/>
              </w:rPr>
            </w:pPr>
            <w:r>
              <w:rPr>
                <w:rFonts w:ascii="Calibri" w:hAnsi="Calibri" w:cs="Calibri"/>
                <w:color w:val="000000"/>
                <w:sz w:val="21"/>
                <w:szCs w:val="21"/>
              </w:rPr>
              <w:t>85</w:t>
            </w:r>
          </w:p>
        </w:tc>
        <w:tc>
          <w:tcPr>
            <w:tcW w:w="1660" w:type="dxa"/>
            <w:tcBorders>
              <w:top w:val="nil"/>
              <w:left w:val="nil"/>
              <w:bottom w:val="nil"/>
              <w:right w:val="nil"/>
            </w:tcBorders>
            <w:shd w:val="clear" w:color="auto" w:fill="auto"/>
            <w:noWrap/>
            <w:vAlign w:val="center"/>
          </w:tcPr>
          <w:p w14:paraId="7FCD574D" w14:textId="669F29DE" w:rsidR="00954416" w:rsidRPr="00D15CE4" w:rsidRDefault="00F00F78" w:rsidP="00954416">
            <w:pPr>
              <w:jc w:val="center"/>
              <w:rPr>
                <w:rFonts w:ascii="Calibri" w:hAnsi="Calibri" w:cs="Calibri"/>
                <w:color w:val="000000"/>
                <w:sz w:val="21"/>
                <w:szCs w:val="21"/>
              </w:rPr>
            </w:pPr>
            <w:r>
              <w:rPr>
                <w:rFonts w:ascii="Calibri" w:hAnsi="Calibri" w:cs="Calibri"/>
                <w:color w:val="000000"/>
                <w:sz w:val="21"/>
                <w:szCs w:val="21"/>
              </w:rPr>
              <w:t>263</w:t>
            </w:r>
          </w:p>
        </w:tc>
        <w:tc>
          <w:tcPr>
            <w:tcW w:w="1640" w:type="dxa"/>
            <w:tcBorders>
              <w:top w:val="nil"/>
              <w:left w:val="nil"/>
              <w:bottom w:val="nil"/>
              <w:right w:val="nil"/>
            </w:tcBorders>
            <w:shd w:val="clear" w:color="auto" w:fill="auto"/>
            <w:noWrap/>
            <w:vAlign w:val="center"/>
            <w:hideMark/>
          </w:tcPr>
          <w:p w14:paraId="039B20C2" w14:textId="77777777" w:rsidR="00954416" w:rsidRPr="00D15CE4" w:rsidRDefault="00954416" w:rsidP="00954416">
            <w:pPr>
              <w:jc w:val="center"/>
              <w:rPr>
                <w:rFonts w:ascii="Calibri" w:hAnsi="Calibri" w:cs="Calibri"/>
                <w:color w:val="000000"/>
                <w:sz w:val="21"/>
                <w:szCs w:val="21"/>
              </w:rPr>
            </w:pPr>
            <w:r w:rsidRPr="00D15CE4">
              <w:rPr>
                <w:rFonts w:ascii="Calibri" w:hAnsi="Calibri" w:cs="Calibri"/>
                <w:color w:val="000000"/>
                <w:sz w:val="21"/>
                <w:szCs w:val="21"/>
              </w:rPr>
              <w:t>194.9</w:t>
            </w:r>
          </w:p>
        </w:tc>
      </w:tr>
      <w:tr w:rsidR="00954416" w:rsidRPr="00954416" w14:paraId="695F9101" w14:textId="77777777" w:rsidTr="00823CA9">
        <w:trPr>
          <w:trHeight w:val="351"/>
        </w:trPr>
        <w:tc>
          <w:tcPr>
            <w:tcW w:w="2000" w:type="dxa"/>
            <w:tcBorders>
              <w:top w:val="nil"/>
              <w:left w:val="nil"/>
              <w:bottom w:val="nil"/>
              <w:right w:val="nil"/>
            </w:tcBorders>
            <w:shd w:val="clear" w:color="auto" w:fill="auto"/>
            <w:vAlign w:val="center"/>
            <w:hideMark/>
          </w:tcPr>
          <w:p w14:paraId="686F8EA8" w14:textId="77777777" w:rsidR="00954416" w:rsidRPr="00D15CE4" w:rsidRDefault="00954416" w:rsidP="00954416">
            <w:pPr>
              <w:rPr>
                <w:rFonts w:ascii="Calibri" w:hAnsi="Calibri" w:cs="Calibri"/>
                <w:color w:val="000000"/>
                <w:sz w:val="21"/>
                <w:szCs w:val="21"/>
              </w:rPr>
            </w:pPr>
            <w:proofErr w:type="spellStart"/>
            <w:r w:rsidRPr="00D15CE4">
              <w:rPr>
                <w:rFonts w:ascii="Calibri" w:hAnsi="Calibri" w:cs="Calibri"/>
                <w:color w:val="000000"/>
                <w:sz w:val="21"/>
                <w:szCs w:val="21"/>
              </w:rPr>
              <w:t>Viši</w:t>
            </w:r>
            <w:proofErr w:type="spellEnd"/>
            <w:r w:rsidRPr="00D15CE4">
              <w:rPr>
                <w:rFonts w:ascii="Calibri" w:hAnsi="Calibri" w:cs="Calibri"/>
                <w:color w:val="000000"/>
                <w:sz w:val="21"/>
                <w:szCs w:val="21"/>
              </w:rPr>
              <w:t xml:space="preserve"> </w:t>
            </w:r>
            <w:proofErr w:type="spellStart"/>
            <w:r w:rsidRPr="00D15CE4">
              <w:rPr>
                <w:rFonts w:ascii="Calibri" w:hAnsi="Calibri" w:cs="Calibri"/>
                <w:color w:val="000000"/>
                <w:sz w:val="21"/>
                <w:szCs w:val="21"/>
              </w:rPr>
              <w:t>razredi</w:t>
            </w:r>
            <w:proofErr w:type="spellEnd"/>
            <w:r w:rsidRPr="00D15CE4">
              <w:rPr>
                <w:rFonts w:ascii="Calibri" w:hAnsi="Calibri" w:cs="Calibri"/>
                <w:color w:val="000000"/>
                <w:sz w:val="21"/>
                <w:szCs w:val="21"/>
              </w:rPr>
              <w:t xml:space="preserve"> V-VIII</w:t>
            </w:r>
          </w:p>
        </w:tc>
        <w:tc>
          <w:tcPr>
            <w:tcW w:w="1560" w:type="dxa"/>
            <w:tcBorders>
              <w:top w:val="nil"/>
              <w:left w:val="nil"/>
              <w:bottom w:val="nil"/>
              <w:right w:val="nil"/>
            </w:tcBorders>
            <w:shd w:val="clear" w:color="auto" w:fill="auto"/>
            <w:noWrap/>
            <w:vAlign w:val="center"/>
          </w:tcPr>
          <w:p w14:paraId="1AC0A1AB" w14:textId="30236838" w:rsidR="00954416" w:rsidRPr="00D15CE4" w:rsidRDefault="00823CA9" w:rsidP="00954416">
            <w:pPr>
              <w:jc w:val="center"/>
              <w:rPr>
                <w:rFonts w:ascii="Calibri" w:hAnsi="Calibri" w:cs="Calibri"/>
                <w:color w:val="000000"/>
                <w:sz w:val="21"/>
                <w:szCs w:val="21"/>
              </w:rPr>
            </w:pPr>
            <w:r>
              <w:rPr>
                <w:rFonts w:ascii="Calibri" w:hAnsi="Calibri" w:cs="Calibri"/>
                <w:color w:val="000000"/>
                <w:sz w:val="21"/>
                <w:szCs w:val="21"/>
              </w:rPr>
              <w:t>85</w:t>
            </w:r>
          </w:p>
        </w:tc>
        <w:tc>
          <w:tcPr>
            <w:tcW w:w="1660" w:type="dxa"/>
            <w:tcBorders>
              <w:top w:val="nil"/>
              <w:left w:val="nil"/>
              <w:bottom w:val="nil"/>
              <w:right w:val="nil"/>
            </w:tcBorders>
            <w:shd w:val="clear" w:color="auto" w:fill="auto"/>
            <w:noWrap/>
            <w:vAlign w:val="center"/>
          </w:tcPr>
          <w:p w14:paraId="6B06E068" w14:textId="78DFDE86" w:rsidR="00954416" w:rsidRPr="00D15CE4" w:rsidRDefault="00F00F78" w:rsidP="00823CA9">
            <w:pPr>
              <w:jc w:val="center"/>
              <w:rPr>
                <w:rFonts w:ascii="Calibri" w:hAnsi="Calibri" w:cs="Calibri"/>
                <w:color w:val="000000"/>
                <w:sz w:val="21"/>
                <w:szCs w:val="21"/>
              </w:rPr>
            </w:pPr>
            <w:r>
              <w:rPr>
                <w:rFonts w:ascii="Calibri" w:hAnsi="Calibri" w:cs="Calibri"/>
                <w:color w:val="000000"/>
                <w:sz w:val="21"/>
                <w:szCs w:val="21"/>
              </w:rPr>
              <w:t>264</w:t>
            </w:r>
          </w:p>
        </w:tc>
        <w:tc>
          <w:tcPr>
            <w:tcW w:w="1640" w:type="dxa"/>
            <w:tcBorders>
              <w:top w:val="nil"/>
              <w:left w:val="nil"/>
              <w:bottom w:val="nil"/>
              <w:right w:val="nil"/>
            </w:tcBorders>
            <w:shd w:val="clear" w:color="auto" w:fill="auto"/>
            <w:noWrap/>
            <w:vAlign w:val="center"/>
            <w:hideMark/>
          </w:tcPr>
          <w:p w14:paraId="01DBD3F8" w14:textId="77777777" w:rsidR="00954416" w:rsidRPr="00D15CE4" w:rsidRDefault="00954416" w:rsidP="00954416">
            <w:pPr>
              <w:jc w:val="center"/>
              <w:rPr>
                <w:rFonts w:ascii="Calibri" w:hAnsi="Calibri" w:cs="Calibri"/>
                <w:color w:val="000000"/>
                <w:sz w:val="21"/>
                <w:szCs w:val="21"/>
              </w:rPr>
            </w:pPr>
            <w:r w:rsidRPr="00D15CE4">
              <w:rPr>
                <w:rFonts w:ascii="Calibri" w:hAnsi="Calibri" w:cs="Calibri"/>
                <w:color w:val="000000"/>
                <w:sz w:val="21"/>
                <w:szCs w:val="21"/>
              </w:rPr>
              <w:t>215.3</w:t>
            </w:r>
          </w:p>
        </w:tc>
      </w:tr>
      <w:tr w:rsidR="00954416" w:rsidRPr="00954416" w14:paraId="47E15C68" w14:textId="77777777" w:rsidTr="00954416">
        <w:trPr>
          <w:trHeight w:val="500"/>
        </w:trPr>
        <w:tc>
          <w:tcPr>
            <w:tcW w:w="2000" w:type="dxa"/>
            <w:tcBorders>
              <w:top w:val="nil"/>
              <w:left w:val="nil"/>
              <w:bottom w:val="nil"/>
              <w:right w:val="nil"/>
            </w:tcBorders>
            <w:shd w:val="clear" w:color="auto" w:fill="auto"/>
            <w:vAlign w:val="center"/>
            <w:hideMark/>
          </w:tcPr>
          <w:p w14:paraId="124AD140" w14:textId="77777777" w:rsidR="00954416" w:rsidRPr="00D15CE4" w:rsidRDefault="00954416" w:rsidP="00954416">
            <w:pPr>
              <w:jc w:val="center"/>
              <w:rPr>
                <w:rFonts w:ascii="Calibri" w:hAnsi="Calibri" w:cs="Calibri"/>
                <w:color w:val="000000"/>
                <w:sz w:val="21"/>
                <w:szCs w:val="21"/>
              </w:rPr>
            </w:pPr>
          </w:p>
        </w:tc>
        <w:tc>
          <w:tcPr>
            <w:tcW w:w="4860" w:type="dxa"/>
            <w:gridSpan w:val="3"/>
            <w:tcBorders>
              <w:top w:val="nil"/>
              <w:left w:val="nil"/>
              <w:bottom w:val="nil"/>
              <w:right w:val="nil"/>
            </w:tcBorders>
            <w:shd w:val="clear" w:color="auto" w:fill="auto"/>
            <w:noWrap/>
            <w:vAlign w:val="bottom"/>
            <w:hideMark/>
          </w:tcPr>
          <w:p w14:paraId="5B4A2E5C" w14:textId="77777777" w:rsidR="00954416" w:rsidRPr="00D15CE4" w:rsidRDefault="00954416" w:rsidP="00954416">
            <w:pPr>
              <w:jc w:val="center"/>
              <w:rPr>
                <w:rFonts w:ascii="Calibri" w:hAnsi="Calibri" w:cs="Calibri"/>
                <w:i/>
                <w:iCs/>
                <w:color w:val="000000"/>
                <w:sz w:val="21"/>
                <w:szCs w:val="21"/>
              </w:rPr>
            </w:pPr>
            <w:proofErr w:type="spellStart"/>
            <w:r w:rsidRPr="00D15CE4">
              <w:rPr>
                <w:rFonts w:ascii="Calibri" w:hAnsi="Calibri" w:cs="Calibri"/>
                <w:i/>
                <w:iCs/>
                <w:color w:val="000000"/>
                <w:sz w:val="21"/>
                <w:szCs w:val="21"/>
              </w:rPr>
              <w:t>Područna</w:t>
            </w:r>
            <w:proofErr w:type="spellEnd"/>
            <w:r w:rsidRPr="00D15CE4">
              <w:rPr>
                <w:rFonts w:ascii="Calibri" w:hAnsi="Calibri" w:cs="Calibri"/>
                <w:i/>
                <w:iCs/>
                <w:color w:val="000000"/>
                <w:sz w:val="21"/>
                <w:szCs w:val="21"/>
              </w:rPr>
              <w:t xml:space="preserve"> </w:t>
            </w:r>
            <w:proofErr w:type="spellStart"/>
            <w:r w:rsidRPr="00D15CE4">
              <w:rPr>
                <w:rFonts w:ascii="Calibri" w:hAnsi="Calibri" w:cs="Calibri"/>
                <w:i/>
                <w:iCs/>
                <w:color w:val="000000"/>
                <w:sz w:val="21"/>
                <w:szCs w:val="21"/>
              </w:rPr>
              <w:t>odeljenja</w:t>
            </w:r>
            <w:proofErr w:type="spellEnd"/>
          </w:p>
        </w:tc>
      </w:tr>
      <w:tr w:rsidR="00954416" w:rsidRPr="00954416" w14:paraId="75D9C619" w14:textId="77777777" w:rsidTr="00823CA9">
        <w:trPr>
          <w:trHeight w:val="500"/>
        </w:trPr>
        <w:tc>
          <w:tcPr>
            <w:tcW w:w="2000" w:type="dxa"/>
            <w:tcBorders>
              <w:top w:val="nil"/>
              <w:left w:val="nil"/>
              <w:right w:val="nil"/>
            </w:tcBorders>
            <w:shd w:val="clear" w:color="auto" w:fill="auto"/>
            <w:vAlign w:val="center"/>
            <w:hideMark/>
          </w:tcPr>
          <w:p w14:paraId="2BA2EB95" w14:textId="77777777" w:rsidR="00954416" w:rsidRPr="00D15CE4" w:rsidRDefault="00954416" w:rsidP="00954416">
            <w:pPr>
              <w:rPr>
                <w:rFonts w:ascii="Calibri" w:hAnsi="Calibri" w:cs="Calibri"/>
                <w:color w:val="000000"/>
                <w:sz w:val="21"/>
                <w:szCs w:val="21"/>
              </w:rPr>
            </w:pPr>
            <w:proofErr w:type="spellStart"/>
            <w:r w:rsidRPr="00D15CE4">
              <w:rPr>
                <w:rFonts w:ascii="Calibri" w:hAnsi="Calibri" w:cs="Calibri"/>
                <w:color w:val="000000"/>
                <w:sz w:val="21"/>
                <w:szCs w:val="21"/>
              </w:rPr>
              <w:t>Niži</w:t>
            </w:r>
            <w:proofErr w:type="spellEnd"/>
            <w:r w:rsidRPr="00D15CE4">
              <w:rPr>
                <w:rFonts w:ascii="Calibri" w:hAnsi="Calibri" w:cs="Calibri"/>
                <w:color w:val="000000"/>
                <w:sz w:val="21"/>
                <w:szCs w:val="21"/>
              </w:rPr>
              <w:t xml:space="preserve"> </w:t>
            </w:r>
            <w:proofErr w:type="spellStart"/>
            <w:r w:rsidRPr="00D15CE4">
              <w:rPr>
                <w:rFonts w:ascii="Calibri" w:hAnsi="Calibri" w:cs="Calibri"/>
                <w:color w:val="000000"/>
                <w:sz w:val="21"/>
                <w:szCs w:val="21"/>
              </w:rPr>
              <w:t>razredi</w:t>
            </w:r>
            <w:proofErr w:type="spellEnd"/>
            <w:r w:rsidRPr="00D15CE4">
              <w:rPr>
                <w:rFonts w:ascii="Calibri" w:hAnsi="Calibri" w:cs="Calibri"/>
                <w:color w:val="000000"/>
                <w:sz w:val="21"/>
                <w:szCs w:val="21"/>
              </w:rPr>
              <w:t xml:space="preserve"> I-IV</w:t>
            </w:r>
          </w:p>
        </w:tc>
        <w:tc>
          <w:tcPr>
            <w:tcW w:w="1560" w:type="dxa"/>
            <w:tcBorders>
              <w:top w:val="nil"/>
              <w:left w:val="nil"/>
              <w:right w:val="nil"/>
            </w:tcBorders>
            <w:shd w:val="clear" w:color="auto" w:fill="auto"/>
            <w:noWrap/>
            <w:vAlign w:val="center"/>
          </w:tcPr>
          <w:p w14:paraId="243478E4" w14:textId="1C0ABEFF" w:rsidR="00954416" w:rsidRPr="001E700D" w:rsidRDefault="00823CA9" w:rsidP="00954416">
            <w:pPr>
              <w:jc w:val="center"/>
              <w:rPr>
                <w:rFonts w:ascii="Calibri" w:hAnsi="Calibri" w:cs="Calibri"/>
                <w:color w:val="000000"/>
                <w:sz w:val="21"/>
                <w:szCs w:val="21"/>
                <w:lang w:val="sr-Latn-RS"/>
              </w:rPr>
            </w:pPr>
            <w:r>
              <w:rPr>
                <w:rFonts w:ascii="Calibri" w:hAnsi="Calibri" w:cs="Calibri"/>
                <w:color w:val="000000"/>
                <w:sz w:val="21"/>
                <w:szCs w:val="21"/>
                <w:lang w:val="sr-Latn-RS"/>
              </w:rPr>
              <w:t>24</w:t>
            </w:r>
          </w:p>
        </w:tc>
        <w:tc>
          <w:tcPr>
            <w:tcW w:w="1660" w:type="dxa"/>
            <w:tcBorders>
              <w:top w:val="nil"/>
              <w:left w:val="nil"/>
              <w:right w:val="nil"/>
            </w:tcBorders>
            <w:shd w:val="clear" w:color="auto" w:fill="auto"/>
            <w:noWrap/>
            <w:vAlign w:val="center"/>
          </w:tcPr>
          <w:p w14:paraId="0C0E7A6E" w14:textId="020BD528" w:rsidR="00954416" w:rsidRPr="00D15CE4" w:rsidRDefault="00F00F78" w:rsidP="00954416">
            <w:pPr>
              <w:jc w:val="center"/>
              <w:rPr>
                <w:rFonts w:ascii="Calibri" w:hAnsi="Calibri" w:cs="Calibri"/>
                <w:color w:val="000000"/>
                <w:sz w:val="21"/>
                <w:szCs w:val="21"/>
              </w:rPr>
            </w:pPr>
            <w:r>
              <w:rPr>
                <w:rFonts w:ascii="Calibri" w:hAnsi="Calibri" w:cs="Calibri"/>
                <w:color w:val="000000"/>
                <w:sz w:val="21"/>
                <w:szCs w:val="21"/>
              </w:rPr>
              <w:t>43,3</w:t>
            </w:r>
          </w:p>
        </w:tc>
        <w:tc>
          <w:tcPr>
            <w:tcW w:w="1640" w:type="dxa"/>
            <w:tcBorders>
              <w:top w:val="nil"/>
              <w:left w:val="nil"/>
              <w:right w:val="nil"/>
            </w:tcBorders>
            <w:shd w:val="clear" w:color="auto" w:fill="auto"/>
            <w:noWrap/>
            <w:vAlign w:val="center"/>
            <w:hideMark/>
          </w:tcPr>
          <w:p w14:paraId="227B78E6" w14:textId="565CE9D7" w:rsidR="00954416" w:rsidRPr="00D15CE4" w:rsidRDefault="00D64562" w:rsidP="00954416">
            <w:pPr>
              <w:jc w:val="center"/>
              <w:rPr>
                <w:rFonts w:ascii="Calibri" w:hAnsi="Calibri" w:cs="Calibri"/>
                <w:color w:val="000000"/>
                <w:sz w:val="21"/>
                <w:szCs w:val="21"/>
              </w:rPr>
            </w:pPr>
            <w:r>
              <w:rPr>
                <w:rFonts w:ascii="Calibri" w:hAnsi="Calibri" w:cs="Calibri"/>
                <w:color w:val="000000"/>
                <w:sz w:val="21"/>
                <w:szCs w:val="21"/>
              </w:rPr>
              <w:t>16.9</w:t>
            </w:r>
          </w:p>
        </w:tc>
      </w:tr>
      <w:tr w:rsidR="00954416" w:rsidRPr="00954416" w14:paraId="16522A86" w14:textId="77777777" w:rsidTr="00823CA9">
        <w:trPr>
          <w:trHeight w:val="288"/>
        </w:trPr>
        <w:tc>
          <w:tcPr>
            <w:tcW w:w="2000" w:type="dxa"/>
            <w:tcBorders>
              <w:top w:val="nil"/>
              <w:left w:val="nil"/>
              <w:bottom w:val="single" w:sz="12" w:space="0" w:color="2F5496" w:themeColor="accent1" w:themeShade="BF"/>
              <w:right w:val="nil"/>
            </w:tcBorders>
            <w:shd w:val="clear" w:color="auto" w:fill="auto"/>
            <w:vAlign w:val="center"/>
            <w:hideMark/>
          </w:tcPr>
          <w:p w14:paraId="3E91B647" w14:textId="77777777" w:rsidR="00954416" w:rsidRPr="00D15CE4" w:rsidRDefault="00954416" w:rsidP="00954416">
            <w:pPr>
              <w:rPr>
                <w:rFonts w:ascii="Calibri" w:hAnsi="Calibri" w:cs="Calibri"/>
                <w:color w:val="000000"/>
                <w:sz w:val="21"/>
                <w:szCs w:val="21"/>
              </w:rPr>
            </w:pPr>
            <w:proofErr w:type="spellStart"/>
            <w:r w:rsidRPr="00D15CE4">
              <w:rPr>
                <w:rFonts w:ascii="Calibri" w:hAnsi="Calibri" w:cs="Calibri"/>
                <w:color w:val="000000"/>
                <w:sz w:val="21"/>
                <w:szCs w:val="21"/>
              </w:rPr>
              <w:t>Viši</w:t>
            </w:r>
            <w:proofErr w:type="spellEnd"/>
            <w:r w:rsidRPr="00D15CE4">
              <w:rPr>
                <w:rFonts w:ascii="Calibri" w:hAnsi="Calibri" w:cs="Calibri"/>
                <w:color w:val="000000"/>
                <w:sz w:val="21"/>
                <w:szCs w:val="21"/>
              </w:rPr>
              <w:t xml:space="preserve"> </w:t>
            </w:r>
            <w:proofErr w:type="spellStart"/>
            <w:r w:rsidRPr="00D15CE4">
              <w:rPr>
                <w:rFonts w:ascii="Calibri" w:hAnsi="Calibri" w:cs="Calibri"/>
                <w:color w:val="000000"/>
                <w:sz w:val="21"/>
                <w:szCs w:val="21"/>
              </w:rPr>
              <w:t>razredi</w:t>
            </w:r>
            <w:proofErr w:type="spellEnd"/>
            <w:r w:rsidRPr="00D15CE4">
              <w:rPr>
                <w:rFonts w:ascii="Calibri" w:hAnsi="Calibri" w:cs="Calibri"/>
                <w:color w:val="000000"/>
                <w:sz w:val="21"/>
                <w:szCs w:val="21"/>
              </w:rPr>
              <w:t xml:space="preserve"> V-VIII</w:t>
            </w:r>
          </w:p>
        </w:tc>
        <w:tc>
          <w:tcPr>
            <w:tcW w:w="1560" w:type="dxa"/>
            <w:tcBorders>
              <w:top w:val="nil"/>
              <w:left w:val="nil"/>
              <w:bottom w:val="single" w:sz="12" w:space="0" w:color="2F5496" w:themeColor="accent1" w:themeShade="BF"/>
              <w:right w:val="nil"/>
            </w:tcBorders>
            <w:shd w:val="clear" w:color="auto" w:fill="auto"/>
            <w:noWrap/>
            <w:vAlign w:val="center"/>
          </w:tcPr>
          <w:p w14:paraId="770A8BBF" w14:textId="634DFEF2" w:rsidR="00954416" w:rsidRPr="00D15CE4" w:rsidRDefault="00823CA9" w:rsidP="00954416">
            <w:pPr>
              <w:jc w:val="center"/>
              <w:rPr>
                <w:rFonts w:ascii="Calibri" w:hAnsi="Calibri" w:cs="Calibri"/>
                <w:color w:val="000000"/>
                <w:sz w:val="21"/>
                <w:szCs w:val="21"/>
              </w:rPr>
            </w:pPr>
            <w:r>
              <w:rPr>
                <w:rFonts w:ascii="Calibri" w:hAnsi="Calibri" w:cs="Calibri"/>
                <w:color w:val="000000"/>
                <w:sz w:val="21"/>
                <w:szCs w:val="21"/>
              </w:rPr>
              <w:t>0</w:t>
            </w:r>
          </w:p>
        </w:tc>
        <w:tc>
          <w:tcPr>
            <w:tcW w:w="1660" w:type="dxa"/>
            <w:tcBorders>
              <w:top w:val="nil"/>
              <w:left w:val="nil"/>
              <w:bottom w:val="single" w:sz="12" w:space="0" w:color="2F5496" w:themeColor="accent1" w:themeShade="BF"/>
              <w:right w:val="nil"/>
            </w:tcBorders>
            <w:shd w:val="clear" w:color="auto" w:fill="auto"/>
            <w:noWrap/>
            <w:vAlign w:val="center"/>
          </w:tcPr>
          <w:p w14:paraId="6AA002F0" w14:textId="2469E82C" w:rsidR="00954416" w:rsidRPr="00D15CE4" w:rsidRDefault="00F00F78" w:rsidP="00954416">
            <w:pPr>
              <w:jc w:val="center"/>
              <w:rPr>
                <w:rFonts w:ascii="Calibri" w:hAnsi="Calibri" w:cs="Calibri"/>
                <w:color w:val="000000"/>
                <w:sz w:val="21"/>
                <w:szCs w:val="21"/>
              </w:rPr>
            </w:pPr>
            <w:r>
              <w:rPr>
                <w:rFonts w:ascii="Calibri" w:hAnsi="Calibri" w:cs="Calibri"/>
                <w:color w:val="000000"/>
                <w:sz w:val="21"/>
                <w:szCs w:val="21"/>
              </w:rPr>
              <w:t>26,5</w:t>
            </w:r>
          </w:p>
        </w:tc>
        <w:tc>
          <w:tcPr>
            <w:tcW w:w="1640" w:type="dxa"/>
            <w:tcBorders>
              <w:top w:val="nil"/>
              <w:left w:val="nil"/>
              <w:bottom w:val="single" w:sz="12" w:space="0" w:color="2F5496" w:themeColor="accent1" w:themeShade="BF"/>
              <w:right w:val="nil"/>
            </w:tcBorders>
            <w:shd w:val="clear" w:color="auto" w:fill="auto"/>
            <w:noWrap/>
            <w:vAlign w:val="center"/>
            <w:hideMark/>
          </w:tcPr>
          <w:p w14:paraId="179DA867" w14:textId="77777777" w:rsidR="00954416" w:rsidRPr="00D15CE4" w:rsidRDefault="00954416" w:rsidP="00954416">
            <w:pPr>
              <w:jc w:val="center"/>
              <w:rPr>
                <w:rFonts w:ascii="Calibri" w:hAnsi="Calibri" w:cs="Calibri"/>
                <w:color w:val="000000"/>
                <w:sz w:val="21"/>
                <w:szCs w:val="21"/>
              </w:rPr>
            </w:pPr>
            <w:r w:rsidRPr="00D15CE4">
              <w:rPr>
                <w:rFonts w:ascii="Calibri" w:hAnsi="Calibri" w:cs="Calibri"/>
                <w:color w:val="000000"/>
                <w:sz w:val="21"/>
                <w:szCs w:val="21"/>
              </w:rPr>
              <w:t>7.5</w:t>
            </w:r>
          </w:p>
        </w:tc>
      </w:tr>
    </w:tbl>
    <w:p w14:paraId="532AEF83" w14:textId="76CEEBA1" w:rsidR="000D4C6F" w:rsidRDefault="00342776" w:rsidP="00DB5D24">
      <w:pPr>
        <w:rPr>
          <w:rFonts w:asciiTheme="minorHAnsi" w:hAnsiTheme="minorHAnsi"/>
          <w:b/>
          <w:i/>
        </w:rPr>
      </w:pPr>
      <w:proofErr w:type="spellStart"/>
      <w:r w:rsidRPr="002D6D78">
        <w:rPr>
          <w:rFonts w:asciiTheme="minorHAnsi" w:hAnsiTheme="minorHAnsi"/>
          <w:sz w:val="18"/>
          <w:szCs w:val="18"/>
        </w:rPr>
        <w:t>Izvor</w:t>
      </w:r>
      <w:proofErr w:type="spellEnd"/>
      <w:r w:rsidRPr="002D6D78">
        <w:rPr>
          <w:rFonts w:asciiTheme="minorHAnsi" w:hAnsiTheme="minorHAnsi"/>
          <w:sz w:val="18"/>
          <w:szCs w:val="18"/>
        </w:rPr>
        <w:t xml:space="preserve">: </w:t>
      </w:r>
      <w:proofErr w:type="spellStart"/>
      <w:r w:rsidRPr="002D6D78">
        <w:rPr>
          <w:rFonts w:asciiTheme="minorHAnsi" w:hAnsiTheme="minorHAnsi"/>
          <w:sz w:val="18"/>
          <w:szCs w:val="18"/>
        </w:rPr>
        <w:t>Devinfo</w:t>
      </w:r>
      <w:proofErr w:type="spellEnd"/>
      <w:r w:rsidRPr="002D6D78">
        <w:rPr>
          <w:rFonts w:asciiTheme="minorHAnsi" w:hAnsiTheme="minorHAnsi"/>
          <w:sz w:val="18"/>
          <w:szCs w:val="18"/>
        </w:rPr>
        <w:t xml:space="preserve"> – </w:t>
      </w:r>
      <w:proofErr w:type="spellStart"/>
      <w:r w:rsidRPr="002D6D78">
        <w:rPr>
          <w:rFonts w:asciiTheme="minorHAnsi" w:hAnsiTheme="minorHAnsi"/>
          <w:sz w:val="18"/>
          <w:szCs w:val="18"/>
        </w:rPr>
        <w:t>profili</w:t>
      </w:r>
      <w:proofErr w:type="spellEnd"/>
      <w:r w:rsidRPr="002D6D78">
        <w:rPr>
          <w:rFonts w:asciiTheme="minorHAnsi" w:hAnsiTheme="minorHAnsi"/>
          <w:sz w:val="18"/>
          <w:szCs w:val="18"/>
        </w:rPr>
        <w:t xml:space="preserve"> </w:t>
      </w:r>
      <w:proofErr w:type="spellStart"/>
      <w:r w:rsidRPr="002D6D78">
        <w:rPr>
          <w:rFonts w:asciiTheme="minorHAnsi" w:hAnsiTheme="minorHAnsi"/>
          <w:sz w:val="18"/>
          <w:szCs w:val="18"/>
        </w:rPr>
        <w:t>opština</w:t>
      </w:r>
      <w:proofErr w:type="spellEnd"/>
    </w:p>
    <w:p w14:paraId="09A70043" w14:textId="7E6D08E1" w:rsidR="00342776" w:rsidRDefault="00342776" w:rsidP="00DB5D24">
      <w:pPr>
        <w:rPr>
          <w:rFonts w:asciiTheme="minorHAnsi" w:hAnsiTheme="minorHAnsi"/>
        </w:rPr>
      </w:pPr>
    </w:p>
    <w:p w14:paraId="37FA9C7F" w14:textId="00271777" w:rsidR="007A085A" w:rsidRPr="002D090E" w:rsidRDefault="007A085A" w:rsidP="007A085A">
      <w:pPr>
        <w:jc w:val="both"/>
        <w:rPr>
          <w:rFonts w:asciiTheme="minorHAnsi" w:hAnsiTheme="minorHAnsi"/>
          <w:sz w:val="22"/>
          <w:szCs w:val="22"/>
        </w:rPr>
      </w:pPr>
      <w:r w:rsidRPr="00A87B53">
        <w:rPr>
          <w:rFonts w:asciiTheme="minorHAnsi" w:hAnsiTheme="minorHAnsi"/>
          <w:b/>
          <w:i/>
          <w:sz w:val="22"/>
          <w:szCs w:val="22"/>
        </w:rPr>
        <w:t xml:space="preserve">Neto </w:t>
      </w:r>
      <w:proofErr w:type="spellStart"/>
      <w:r w:rsidRPr="00A87B53">
        <w:rPr>
          <w:rFonts w:asciiTheme="minorHAnsi" w:hAnsiTheme="minorHAnsi"/>
          <w:b/>
          <w:i/>
          <w:sz w:val="22"/>
          <w:szCs w:val="22"/>
        </w:rPr>
        <w:t>stopa</w:t>
      </w:r>
      <w:proofErr w:type="spellEnd"/>
      <w:r w:rsidRPr="00A87B53">
        <w:rPr>
          <w:rFonts w:asciiTheme="minorHAnsi" w:hAnsiTheme="minorHAnsi"/>
          <w:b/>
          <w:i/>
          <w:sz w:val="22"/>
          <w:szCs w:val="22"/>
        </w:rPr>
        <w:t xml:space="preserve"> </w:t>
      </w:r>
      <w:proofErr w:type="spellStart"/>
      <w:r w:rsidRPr="00A87B53">
        <w:rPr>
          <w:rFonts w:asciiTheme="minorHAnsi" w:hAnsiTheme="minorHAnsi"/>
          <w:b/>
          <w:i/>
          <w:sz w:val="22"/>
          <w:szCs w:val="22"/>
        </w:rPr>
        <w:t>obuhvata</w:t>
      </w:r>
      <w:proofErr w:type="spellEnd"/>
      <w:r w:rsidRPr="00A87B53">
        <w:rPr>
          <w:rFonts w:asciiTheme="minorHAnsi" w:hAnsiTheme="minorHAnsi"/>
          <w:b/>
          <w:i/>
          <w:sz w:val="22"/>
          <w:szCs w:val="22"/>
        </w:rPr>
        <w:t xml:space="preserve"> </w:t>
      </w:r>
      <w:bookmarkStart w:id="2" w:name="OLE_LINK2"/>
      <w:proofErr w:type="spellStart"/>
      <w:r w:rsidRPr="00A87B53">
        <w:rPr>
          <w:rFonts w:asciiTheme="minorHAnsi" w:hAnsiTheme="minorHAnsi"/>
          <w:b/>
          <w:i/>
          <w:sz w:val="22"/>
          <w:szCs w:val="22"/>
        </w:rPr>
        <w:t>osnovnim</w:t>
      </w:r>
      <w:proofErr w:type="spellEnd"/>
      <w:r w:rsidRPr="00A87B53">
        <w:rPr>
          <w:rFonts w:asciiTheme="minorHAnsi" w:hAnsiTheme="minorHAnsi"/>
          <w:b/>
          <w:i/>
          <w:sz w:val="22"/>
          <w:szCs w:val="22"/>
        </w:rPr>
        <w:t xml:space="preserve"> </w:t>
      </w:r>
      <w:proofErr w:type="spellStart"/>
      <w:r w:rsidRPr="00A87B53">
        <w:rPr>
          <w:rFonts w:asciiTheme="minorHAnsi" w:hAnsiTheme="minorHAnsi"/>
          <w:b/>
          <w:i/>
          <w:sz w:val="22"/>
          <w:szCs w:val="22"/>
        </w:rPr>
        <w:t>obrazovanjem</w:t>
      </w:r>
      <w:proofErr w:type="spellEnd"/>
      <w:r w:rsidRPr="00A87B53">
        <w:rPr>
          <w:rFonts w:asciiTheme="minorHAnsi" w:hAnsiTheme="minorHAnsi"/>
          <w:b/>
          <w:i/>
          <w:sz w:val="22"/>
          <w:szCs w:val="22"/>
        </w:rPr>
        <w:t xml:space="preserve"> </w:t>
      </w:r>
      <w:bookmarkEnd w:id="2"/>
      <w:proofErr w:type="spellStart"/>
      <w:r w:rsidR="0029422F">
        <w:rPr>
          <w:rFonts w:asciiTheme="minorHAnsi" w:hAnsiTheme="minorHAnsi"/>
          <w:b/>
          <w:i/>
          <w:sz w:val="22"/>
          <w:szCs w:val="22"/>
        </w:rPr>
        <w:t>varira</w:t>
      </w:r>
      <w:proofErr w:type="spellEnd"/>
      <w:r w:rsidR="0029422F">
        <w:rPr>
          <w:rFonts w:asciiTheme="minorHAnsi" w:hAnsiTheme="minorHAnsi"/>
          <w:b/>
          <w:i/>
          <w:sz w:val="22"/>
          <w:szCs w:val="22"/>
        </w:rPr>
        <w:t xml:space="preserve"> </w:t>
      </w:r>
      <w:proofErr w:type="spellStart"/>
      <w:r w:rsidR="0029422F">
        <w:rPr>
          <w:rFonts w:asciiTheme="minorHAnsi" w:hAnsiTheme="minorHAnsi"/>
          <w:b/>
          <w:i/>
          <w:sz w:val="22"/>
          <w:szCs w:val="22"/>
        </w:rPr>
        <w:t>ali</w:t>
      </w:r>
      <w:proofErr w:type="spellEnd"/>
      <w:r w:rsidR="0029422F">
        <w:rPr>
          <w:rFonts w:asciiTheme="minorHAnsi" w:hAnsiTheme="minorHAnsi"/>
          <w:b/>
          <w:i/>
          <w:sz w:val="22"/>
          <w:szCs w:val="22"/>
        </w:rPr>
        <w:t xml:space="preserve"> se </w:t>
      </w:r>
      <w:proofErr w:type="spellStart"/>
      <w:r w:rsidR="0029422F">
        <w:rPr>
          <w:rFonts w:asciiTheme="minorHAnsi" w:hAnsiTheme="minorHAnsi"/>
          <w:b/>
          <w:i/>
          <w:sz w:val="22"/>
          <w:szCs w:val="22"/>
        </w:rPr>
        <w:t>može</w:t>
      </w:r>
      <w:proofErr w:type="spellEnd"/>
      <w:r w:rsidR="0029422F">
        <w:rPr>
          <w:rFonts w:asciiTheme="minorHAnsi" w:hAnsiTheme="minorHAnsi"/>
          <w:b/>
          <w:i/>
          <w:sz w:val="22"/>
          <w:szCs w:val="22"/>
        </w:rPr>
        <w:t xml:space="preserve"> </w:t>
      </w:r>
      <w:proofErr w:type="spellStart"/>
      <w:r w:rsidR="0029422F">
        <w:rPr>
          <w:rFonts w:asciiTheme="minorHAnsi" w:hAnsiTheme="minorHAnsi"/>
          <w:b/>
          <w:i/>
          <w:sz w:val="22"/>
          <w:szCs w:val="22"/>
        </w:rPr>
        <w:t>reći</w:t>
      </w:r>
      <w:proofErr w:type="spellEnd"/>
      <w:r w:rsidR="0029422F">
        <w:rPr>
          <w:rFonts w:asciiTheme="minorHAnsi" w:hAnsiTheme="minorHAnsi"/>
          <w:b/>
          <w:i/>
          <w:sz w:val="22"/>
          <w:szCs w:val="22"/>
        </w:rPr>
        <w:t xml:space="preserve"> da je </w:t>
      </w:r>
      <w:proofErr w:type="spellStart"/>
      <w:r w:rsidR="0029422F">
        <w:rPr>
          <w:rFonts w:asciiTheme="minorHAnsi" w:hAnsiTheme="minorHAnsi"/>
          <w:b/>
          <w:i/>
          <w:sz w:val="22"/>
          <w:szCs w:val="22"/>
        </w:rPr>
        <w:t>na</w:t>
      </w:r>
      <w:proofErr w:type="spellEnd"/>
      <w:r w:rsidR="0029422F">
        <w:rPr>
          <w:rFonts w:asciiTheme="minorHAnsi" w:hAnsiTheme="minorHAnsi"/>
          <w:b/>
          <w:i/>
          <w:sz w:val="22"/>
          <w:szCs w:val="22"/>
        </w:rPr>
        <w:t xml:space="preserve"> </w:t>
      </w:r>
      <w:proofErr w:type="spellStart"/>
      <w:r w:rsidR="0029422F">
        <w:rPr>
          <w:rFonts w:asciiTheme="minorHAnsi" w:hAnsiTheme="minorHAnsi"/>
          <w:b/>
          <w:i/>
          <w:sz w:val="22"/>
          <w:szCs w:val="22"/>
        </w:rPr>
        <w:t>nivou</w:t>
      </w:r>
      <w:proofErr w:type="spellEnd"/>
      <w:r w:rsidR="0029422F">
        <w:rPr>
          <w:rFonts w:asciiTheme="minorHAnsi" w:hAnsiTheme="minorHAnsi"/>
          <w:b/>
          <w:i/>
          <w:sz w:val="22"/>
          <w:szCs w:val="22"/>
        </w:rPr>
        <w:t xml:space="preserve"> </w:t>
      </w:r>
      <w:proofErr w:type="spellStart"/>
      <w:r w:rsidR="0029422F">
        <w:rPr>
          <w:rFonts w:asciiTheme="minorHAnsi" w:hAnsiTheme="minorHAnsi"/>
          <w:b/>
          <w:i/>
          <w:sz w:val="22"/>
          <w:szCs w:val="22"/>
        </w:rPr>
        <w:t>proseka</w:t>
      </w:r>
      <w:proofErr w:type="spellEnd"/>
      <w:r w:rsidR="0029422F">
        <w:rPr>
          <w:rFonts w:asciiTheme="minorHAnsi" w:hAnsiTheme="minorHAnsi"/>
          <w:b/>
          <w:i/>
          <w:sz w:val="22"/>
          <w:szCs w:val="22"/>
        </w:rPr>
        <w:t xml:space="preserve"> </w:t>
      </w:r>
      <w:proofErr w:type="spellStart"/>
      <w:r w:rsidR="0029422F">
        <w:rPr>
          <w:rFonts w:asciiTheme="minorHAnsi" w:hAnsiTheme="minorHAnsi"/>
          <w:b/>
          <w:i/>
          <w:sz w:val="22"/>
          <w:szCs w:val="22"/>
        </w:rPr>
        <w:t>Srbije</w:t>
      </w:r>
      <w:proofErr w:type="spellEnd"/>
      <w:r w:rsidRPr="00A87B53">
        <w:rPr>
          <w:rFonts w:asciiTheme="minorHAnsi" w:hAnsiTheme="minorHAnsi"/>
          <w:b/>
          <w:i/>
          <w:sz w:val="22"/>
          <w:szCs w:val="22"/>
        </w:rPr>
        <w:t xml:space="preserve">. </w:t>
      </w:r>
      <w:proofErr w:type="spellStart"/>
      <w:r w:rsidRPr="00A87B53">
        <w:rPr>
          <w:rFonts w:asciiTheme="minorHAnsi" w:hAnsiTheme="minorHAnsi"/>
          <w:sz w:val="22"/>
          <w:szCs w:val="22"/>
        </w:rPr>
        <w:t>Posmatrajući</w:t>
      </w:r>
      <w:proofErr w:type="spellEnd"/>
      <w:r w:rsidRPr="00A87B53">
        <w:rPr>
          <w:rFonts w:asciiTheme="minorHAnsi" w:hAnsiTheme="minorHAnsi"/>
          <w:sz w:val="22"/>
          <w:szCs w:val="22"/>
        </w:rPr>
        <w:t xml:space="preserve"> </w:t>
      </w:r>
      <w:proofErr w:type="spellStart"/>
      <w:r w:rsidRPr="00A87B53">
        <w:rPr>
          <w:rFonts w:asciiTheme="minorHAnsi" w:hAnsiTheme="minorHAnsi"/>
          <w:sz w:val="22"/>
          <w:szCs w:val="22"/>
        </w:rPr>
        <w:t>desetogodišnji</w:t>
      </w:r>
      <w:proofErr w:type="spellEnd"/>
      <w:r w:rsidRPr="00A87B53">
        <w:rPr>
          <w:rFonts w:asciiTheme="minorHAnsi" w:hAnsiTheme="minorHAnsi"/>
          <w:sz w:val="22"/>
          <w:szCs w:val="22"/>
        </w:rPr>
        <w:t xml:space="preserve"> period</w:t>
      </w:r>
      <w:r w:rsidR="00A87B53" w:rsidRPr="00A87B53">
        <w:rPr>
          <w:rFonts w:asciiTheme="minorHAnsi" w:hAnsiTheme="minorHAnsi"/>
          <w:sz w:val="22"/>
          <w:szCs w:val="22"/>
        </w:rPr>
        <w:t>,</w:t>
      </w:r>
      <w:r w:rsidRPr="00A87B53">
        <w:rPr>
          <w:rFonts w:asciiTheme="minorHAnsi" w:hAnsiTheme="minorHAnsi"/>
          <w:sz w:val="22"/>
          <w:szCs w:val="22"/>
        </w:rPr>
        <w:t xml:space="preserve"> </w:t>
      </w:r>
      <w:proofErr w:type="spellStart"/>
      <w:r w:rsidR="0029422F">
        <w:rPr>
          <w:rFonts w:asciiTheme="minorHAnsi" w:hAnsiTheme="minorHAnsi"/>
          <w:sz w:val="22"/>
          <w:szCs w:val="22"/>
        </w:rPr>
        <w:t>prosečna</w:t>
      </w:r>
      <w:proofErr w:type="spellEnd"/>
      <w:r w:rsidR="0029422F">
        <w:rPr>
          <w:rFonts w:asciiTheme="minorHAnsi" w:hAnsiTheme="minorHAnsi"/>
          <w:sz w:val="22"/>
          <w:szCs w:val="22"/>
        </w:rPr>
        <w:t xml:space="preserve"> </w:t>
      </w:r>
      <w:proofErr w:type="spellStart"/>
      <w:r w:rsidR="0029422F">
        <w:rPr>
          <w:rFonts w:asciiTheme="minorHAnsi" w:hAnsiTheme="minorHAnsi"/>
          <w:sz w:val="22"/>
          <w:szCs w:val="22"/>
        </w:rPr>
        <w:t>stopa</w:t>
      </w:r>
      <w:proofErr w:type="spellEnd"/>
      <w:r w:rsidR="0029422F">
        <w:rPr>
          <w:rFonts w:asciiTheme="minorHAnsi" w:hAnsiTheme="minorHAnsi"/>
          <w:sz w:val="22"/>
          <w:szCs w:val="22"/>
        </w:rPr>
        <w:t xml:space="preserve"> je </w:t>
      </w:r>
      <w:proofErr w:type="spellStart"/>
      <w:r w:rsidR="0029422F">
        <w:rPr>
          <w:rFonts w:asciiTheme="minorHAnsi" w:hAnsiTheme="minorHAnsi"/>
          <w:sz w:val="22"/>
          <w:szCs w:val="22"/>
        </w:rPr>
        <w:t>na</w:t>
      </w:r>
      <w:proofErr w:type="spellEnd"/>
      <w:r w:rsidR="0029422F">
        <w:rPr>
          <w:rFonts w:asciiTheme="minorHAnsi" w:hAnsiTheme="minorHAnsi"/>
          <w:sz w:val="22"/>
          <w:szCs w:val="22"/>
        </w:rPr>
        <w:t xml:space="preserve"> </w:t>
      </w:r>
      <w:proofErr w:type="spellStart"/>
      <w:r w:rsidR="0029422F">
        <w:rPr>
          <w:rFonts w:asciiTheme="minorHAnsi" w:hAnsiTheme="minorHAnsi"/>
          <w:sz w:val="22"/>
          <w:szCs w:val="22"/>
        </w:rPr>
        <w:t>nivou</w:t>
      </w:r>
      <w:proofErr w:type="spellEnd"/>
      <w:r w:rsidRPr="00A87B53">
        <w:rPr>
          <w:rFonts w:asciiTheme="minorHAnsi" w:hAnsiTheme="minorHAnsi"/>
          <w:sz w:val="22"/>
          <w:szCs w:val="22"/>
        </w:rPr>
        <w:t xml:space="preserve"> </w:t>
      </w:r>
      <w:proofErr w:type="spellStart"/>
      <w:r w:rsidRPr="00A87B53">
        <w:rPr>
          <w:rFonts w:asciiTheme="minorHAnsi" w:hAnsiTheme="minorHAnsi"/>
          <w:sz w:val="22"/>
          <w:szCs w:val="22"/>
        </w:rPr>
        <w:t>prosek</w:t>
      </w:r>
      <w:r w:rsidR="0029422F">
        <w:rPr>
          <w:rFonts w:asciiTheme="minorHAnsi" w:hAnsiTheme="minorHAnsi"/>
          <w:sz w:val="22"/>
          <w:szCs w:val="22"/>
        </w:rPr>
        <w:t>a</w:t>
      </w:r>
      <w:proofErr w:type="spellEnd"/>
      <w:r w:rsidRPr="00A87B53">
        <w:rPr>
          <w:rFonts w:asciiTheme="minorHAnsi" w:hAnsiTheme="minorHAnsi"/>
          <w:sz w:val="22"/>
          <w:szCs w:val="22"/>
        </w:rPr>
        <w:t xml:space="preserve"> </w:t>
      </w:r>
      <w:proofErr w:type="spellStart"/>
      <w:r w:rsidRPr="00A87B53">
        <w:rPr>
          <w:rFonts w:asciiTheme="minorHAnsi" w:hAnsiTheme="minorHAnsi"/>
          <w:sz w:val="22"/>
          <w:szCs w:val="22"/>
        </w:rPr>
        <w:t>Srbije</w:t>
      </w:r>
      <w:proofErr w:type="spellEnd"/>
      <w:r w:rsidRPr="00A87B53">
        <w:rPr>
          <w:rFonts w:asciiTheme="minorHAnsi" w:hAnsiTheme="minorHAnsi"/>
          <w:sz w:val="22"/>
          <w:szCs w:val="22"/>
        </w:rPr>
        <w:t xml:space="preserve"> </w:t>
      </w:r>
      <w:proofErr w:type="spellStart"/>
      <w:r w:rsidR="0029422F">
        <w:rPr>
          <w:rFonts w:asciiTheme="minorHAnsi" w:hAnsiTheme="minorHAnsi"/>
          <w:sz w:val="22"/>
          <w:szCs w:val="22"/>
        </w:rPr>
        <w:t>ali</w:t>
      </w:r>
      <w:proofErr w:type="spellEnd"/>
      <w:r w:rsidR="0029422F">
        <w:rPr>
          <w:rFonts w:asciiTheme="minorHAnsi" w:hAnsiTheme="minorHAnsi"/>
          <w:sz w:val="22"/>
          <w:szCs w:val="22"/>
        </w:rPr>
        <w:t xml:space="preserve"> </w:t>
      </w:r>
      <w:proofErr w:type="spellStart"/>
      <w:r w:rsidR="0029422F">
        <w:rPr>
          <w:rFonts w:asciiTheme="minorHAnsi" w:hAnsiTheme="minorHAnsi"/>
          <w:sz w:val="22"/>
          <w:szCs w:val="22"/>
        </w:rPr>
        <w:t>niža</w:t>
      </w:r>
      <w:proofErr w:type="spellEnd"/>
      <w:r w:rsidR="0029422F">
        <w:rPr>
          <w:rFonts w:asciiTheme="minorHAnsi" w:hAnsiTheme="minorHAnsi"/>
          <w:sz w:val="22"/>
          <w:szCs w:val="22"/>
        </w:rPr>
        <w:t xml:space="preserve"> u </w:t>
      </w:r>
      <w:proofErr w:type="spellStart"/>
      <w:r w:rsidR="0029422F">
        <w:rPr>
          <w:rFonts w:asciiTheme="minorHAnsi" w:hAnsiTheme="minorHAnsi"/>
          <w:sz w:val="22"/>
          <w:szCs w:val="22"/>
        </w:rPr>
        <w:t>odnosu</w:t>
      </w:r>
      <w:proofErr w:type="spellEnd"/>
      <w:r w:rsidR="0029422F">
        <w:rPr>
          <w:rFonts w:asciiTheme="minorHAnsi" w:hAnsiTheme="minorHAnsi"/>
          <w:sz w:val="22"/>
          <w:szCs w:val="22"/>
        </w:rPr>
        <w:t xml:space="preserve"> </w:t>
      </w:r>
      <w:proofErr w:type="spellStart"/>
      <w:r w:rsidR="0029422F">
        <w:rPr>
          <w:rFonts w:asciiTheme="minorHAnsi" w:hAnsiTheme="minorHAnsi"/>
          <w:sz w:val="22"/>
          <w:szCs w:val="22"/>
        </w:rPr>
        <w:t>na</w:t>
      </w:r>
      <w:proofErr w:type="spellEnd"/>
      <w:r w:rsidR="0029422F">
        <w:rPr>
          <w:rFonts w:asciiTheme="minorHAnsi" w:hAnsiTheme="minorHAnsi"/>
          <w:sz w:val="22"/>
          <w:szCs w:val="22"/>
        </w:rPr>
        <w:t xml:space="preserve"> </w:t>
      </w:r>
      <w:proofErr w:type="spellStart"/>
      <w:r w:rsidR="0029422F">
        <w:rPr>
          <w:rFonts w:asciiTheme="minorHAnsi" w:hAnsiTheme="minorHAnsi"/>
          <w:sz w:val="22"/>
          <w:szCs w:val="22"/>
        </w:rPr>
        <w:t>Junžnobanatsku</w:t>
      </w:r>
      <w:proofErr w:type="spellEnd"/>
      <w:r w:rsidRPr="00A87B53">
        <w:rPr>
          <w:rFonts w:asciiTheme="minorHAnsi" w:hAnsiTheme="minorHAnsi"/>
          <w:sz w:val="22"/>
          <w:szCs w:val="22"/>
        </w:rPr>
        <w:t xml:space="preserve"> oblast</w:t>
      </w:r>
      <w:r w:rsidR="00A87B53" w:rsidRPr="00A87B53">
        <w:rPr>
          <w:rFonts w:asciiTheme="minorHAnsi" w:hAnsiTheme="minorHAnsi"/>
          <w:sz w:val="22"/>
          <w:szCs w:val="22"/>
        </w:rPr>
        <w:t xml:space="preserve"> </w:t>
      </w:r>
      <w:proofErr w:type="spellStart"/>
      <w:r w:rsidR="0029422F">
        <w:rPr>
          <w:rFonts w:asciiTheme="minorHAnsi" w:hAnsiTheme="minorHAnsi"/>
          <w:sz w:val="22"/>
          <w:szCs w:val="22"/>
        </w:rPr>
        <w:t>koja</w:t>
      </w:r>
      <w:proofErr w:type="spellEnd"/>
      <w:r w:rsidR="0029422F">
        <w:rPr>
          <w:rFonts w:asciiTheme="minorHAnsi" w:hAnsiTheme="minorHAnsi"/>
          <w:sz w:val="22"/>
          <w:szCs w:val="22"/>
        </w:rPr>
        <w:t xml:space="preserve"> </w:t>
      </w:r>
      <w:proofErr w:type="spellStart"/>
      <w:r w:rsidR="0029422F">
        <w:rPr>
          <w:rFonts w:asciiTheme="minorHAnsi" w:hAnsiTheme="minorHAnsi"/>
          <w:sz w:val="22"/>
          <w:szCs w:val="22"/>
        </w:rPr>
        <w:t>ima</w:t>
      </w:r>
      <w:proofErr w:type="spellEnd"/>
      <w:r w:rsidR="0029422F">
        <w:rPr>
          <w:rFonts w:asciiTheme="minorHAnsi" w:hAnsiTheme="minorHAnsi"/>
          <w:sz w:val="22"/>
          <w:szCs w:val="22"/>
        </w:rPr>
        <w:t xml:space="preserve"> </w:t>
      </w:r>
      <w:proofErr w:type="spellStart"/>
      <w:r w:rsidR="0029422F">
        <w:rPr>
          <w:rFonts w:asciiTheme="minorHAnsi" w:hAnsiTheme="minorHAnsi"/>
          <w:sz w:val="22"/>
          <w:szCs w:val="22"/>
        </w:rPr>
        <w:t>iznadprosečnu</w:t>
      </w:r>
      <w:proofErr w:type="spellEnd"/>
      <w:r w:rsidR="0029422F">
        <w:rPr>
          <w:rFonts w:asciiTheme="minorHAnsi" w:hAnsiTheme="minorHAnsi"/>
          <w:sz w:val="22"/>
          <w:szCs w:val="22"/>
        </w:rPr>
        <w:t xml:space="preserve"> </w:t>
      </w:r>
      <w:proofErr w:type="spellStart"/>
      <w:r w:rsidR="0029422F">
        <w:rPr>
          <w:rFonts w:asciiTheme="minorHAnsi" w:hAnsiTheme="minorHAnsi"/>
          <w:sz w:val="22"/>
          <w:szCs w:val="22"/>
        </w:rPr>
        <w:t>stopu</w:t>
      </w:r>
      <w:proofErr w:type="spellEnd"/>
      <w:r w:rsidR="0029422F">
        <w:rPr>
          <w:rFonts w:asciiTheme="minorHAnsi" w:hAnsiTheme="minorHAnsi"/>
          <w:sz w:val="22"/>
          <w:szCs w:val="22"/>
        </w:rPr>
        <w:t xml:space="preserve"> </w:t>
      </w:r>
      <w:proofErr w:type="spellStart"/>
      <w:r w:rsidR="0029422F">
        <w:rPr>
          <w:rFonts w:asciiTheme="minorHAnsi" w:hAnsiTheme="minorHAnsi"/>
          <w:sz w:val="22"/>
          <w:szCs w:val="22"/>
        </w:rPr>
        <w:t>obuhvata</w:t>
      </w:r>
      <w:proofErr w:type="spellEnd"/>
      <w:r w:rsidR="0029422F">
        <w:rPr>
          <w:rFonts w:asciiTheme="minorHAnsi" w:hAnsiTheme="minorHAnsi"/>
          <w:sz w:val="22"/>
          <w:szCs w:val="22"/>
        </w:rPr>
        <w:t xml:space="preserve"> </w:t>
      </w:r>
      <w:proofErr w:type="spellStart"/>
      <w:r w:rsidR="0029422F">
        <w:rPr>
          <w:rFonts w:asciiTheme="minorHAnsi" w:hAnsiTheme="minorHAnsi"/>
          <w:sz w:val="22"/>
          <w:szCs w:val="22"/>
        </w:rPr>
        <w:t>osnovnim</w:t>
      </w:r>
      <w:proofErr w:type="spellEnd"/>
      <w:r w:rsidR="0029422F">
        <w:rPr>
          <w:rFonts w:asciiTheme="minorHAnsi" w:hAnsiTheme="minorHAnsi"/>
          <w:sz w:val="22"/>
          <w:szCs w:val="22"/>
        </w:rPr>
        <w:t xml:space="preserve"> </w:t>
      </w:r>
      <w:proofErr w:type="spellStart"/>
      <w:r w:rsidR="0029422F">
        <w:rPr>
          <w:rFonts w:asciiTheme="minorHAnsi" w:hAnsiTheme="minorHAnsi"/>
          <w:sz w:val="22"/>
          <w:szCs w:val="22"/>
        </w:rPr>
        <w:t>obrazovanjem</w:t>
      </w:r>
      <w:proofErr w:type="spellEnd"/>
      <w:r w:rsidR="0029422F">
        <w:rPr>
          <w:rFonts w:asciiTheme="minorHAnsi" w:hAnsiTheme="minorHAnsi"/>
          <w:sz w:val="22"/>
          <w:szCs w:val="22"/>
        </w:rPr>
        <w:t xml:space="preserve"> </w:t>
      </w:r>
      <w:r w:rsidR="0029422F" w:rsidRPr="0029422F">
        <w:rPr>
          <w:rFonts w:asciiTheme="minorHAnsi" w:hAnsiTheme="minorHAnsi"/>
          <w:i/>
          <w:sz w:val="22"/>
          <w:szCs w:val="22"/>
        </w:rPr>
        <w:t>(</w:t>
      </w:r>
      <w:proofErr w:type="spellStart"/>
      <w:r w:rsidR="0029422F" w:rsidRPr="0029422F">
        <w:rPr>
          <w:rFonts w:asciiTheme="minorHAnsi" w:hAnsiTheme="minorHAnsi"/>
          <w:i/>
          <w:sz w:val="22"/>
          <w:szCs w:val="22"/>
        </w:rPr>
        <w:t>Grafikon</w:t>
      </w:r>
      <w:proofErr w:type="spellEnd"/>
      <w:r w:rsidR="0029422F" w:rsidRPr="0029422F">
        <w:rPr>
          <w:rFonts w:asciiTheme="minorHAnsi" w:hAnsiTheme="minorHAnsi"/>
          <w:i/>
          <w:sz w:val="22"/>
          <w:szCs w:val="22"/>
        </w:rPr>
        <w:t xml:space="preserve"> 5.).</w:t>
      </w:r>
      <w:r w:rsidR="0029422F">
        <w:rPr>
          <w:rFonts w:asciiTheme="minorHAnsi" w:hAnsiTheme="minorHAnsi"/>
          <w:sz w:val="22"/>
          <w:szCs w:val="22"/>
        </w:rPr>
        <w:t xml:space="preserve"> </w:t>
      </w:r>
    </w:p>
    <w:p w14:paraId="58B140CC" w14:textId="77777777" w:rsidR="00D15CE4" w:rsidRPr="00342776" w:rsidRDefault="00D15CE4" w:rsidP="00DB5D24">
      <w:pPr>
        <w:rPr>
          <w:rFonts w:asciiTheme="minorHAnsi" w:hAnsiTheme="minorHAnsi"/>
        </w:rPr>
      </w:pPr>
    </w:p>
    <w:p w14:paraId="1A979B5B" w14:textId="77777777" w:rsidR="0032035D" w:rsidRDefault="0032035D" w:rsidP="004660A9">
      <w:pPr>
        <w:rPr>
          <w:rFonts w:ascii="Cambria" w:hAnsi="Cambria"/>
          <w:b/>
          <w:sz w:val="22"/>
          <w:szCs w:val="22"/>
        </w:rPr>
      </w:pPr>
    </w:p>
    <w:p w14:paraId="3CC39599" w14:textId="5988833C" w:rsidR="004660A9" w:rsidRDefault="0032035D" w:rsidP="004660A9">
      <w:pPr>
        <w:rPr>
          <w:rFonts w:ascii="Cambria" w:hAnsi="Cambria"/>
          <w:b/>
          <w:sz w:val="22"/>
          <w:szCs w:val="22"/>
        </w:rPr>
      </w:pPr>
      <w:proofErr w:type="spellStart"/>
      <w:r>
        <w:rPr>
          <w:rFonts w:ascii="Cambria" w:hAnsi="Cambria"/>
          <w:b/>
          <w:sz w:val="22"/>
          <w:szCs w:val="22"/>
        </w:rPr>
        <w:t>Grafikon</w:t>
      </w:r>
      <w:proofErr w:type="spellEnd"/>
      <w:r w:rsidR="004660A9">
        <w:rPr>
          <w:rFonts w:ascii="Cambria" w:hAnsi="Cambria"/>
          <w:b/>
          <w:sz w:val="22"/>
          <w:szCs w:val="22"/>
        </w:rPr>
        <w:t xml:space="preserve"> </w:t>
      </w:r>
      <w:r w:rsidR="00D64562">
        <w:rPr>
          <w:rFonts w:ascii="Cambria" w:hAnsi="Cambria"/>
          <w:b/>
          <w:sz w:val="22"/>
          <w:szCs w:val="22"/>
        </w:rPr>
        <w:t>5</w:t>
      </w:r>
      <w:r w:rsidR="004660A9">
        <w:rPr>
          <w:rFonts w:ascii="Cambria" w:hAnsi="Cambria"/>
          <w:b/>
          <w:sz w:val="22"/>
          <w:szCs w:val="22"/>
        </w:rPr>
        <w:t xml:space="preserve">. </w:t>
      </w:r>
      <w:r w:rsidR="007F1CC8">
        <w:rPr>
          <w:rFonts w:ascii="Cambria" w:hAnsi="Cambria"/>
          <w:b/>
          <w:sz w:val="22"/>
          <w:szCs w:val="22"/>
        </w:rPr>
        <w:t xml:space="preserve">Neto </w:t>
      </w:r>
      <w:proofErr w:type="spellStart"/>
      <w:r w:rsidR="007F1CC8">
        <w:rPr>
          <w:rFonts w:ascii="Cambria" w:hAnsi="Cambria"/>
          <w:b/>
          <w:sz w:val="22"/>
          <w:szCs w:val="22"/>
        </w:rPr>
        <w:t>stopa</w:t>
      </w:r>
      <w:proofErr w:type="spellEnd"/>
      <w:r w:rsidR="007F1CC8">
        <w:rPr>
          <w:rFonts w:ascii="Cambria" w:hAnsi="Cambria"/>
          <w:b/>
          <w:sz w:val="22"/>
          <w:szCs w:val="22"/>
        </w:rPr>
        <w:t xml:space="preserve"> </w:t>
      </w:r>
      <w:proofErr w:type="spellStart"/>
      <w:r w:rsidR="007F1CC8">
        <w:rPr>
          <w:rFonts w:ascii="Cambria" w:hAnsi="Cambria"/>
          <w:b/>
          <w:sz w:val="22"/>
          <w:szCs w:val="22"/>
        </w:rPr>
        <w:t>obuhvata</w:t>
      </w:r>
      <w:proofErr w:type="spellEnd"/>
      <w:r w:rsidR="007F1CC8">
        <w:rPr>
          <w:rFonts w:ascii="Cambria" w:hAnsi="Cambria"/>
          <w:b/>
          <w:sz w:val="22"/>
          <w:szCs w:val="22"/>
        </w:rPr>
        <w:t xml:space="preserve"> </w:t>
      </w:r>
      <w:proofErr w:type="spellStart"/>
      <w:r w:rsidR="007F1CC8">
        <w:rPr>
          <w:rFonts w:ascii="Cambria" w:hAnsi="Cambria"/>
          <w:b/>
          <w:sz w:val="22"/>
          <w:szCs w:val="22"/>
        </w:rPr>
        <w:t>osnovnim</w:t>
      </w:r>
      <w:proofErr w:type="spellEnd"/>
      <w:r w:rsidR="007F1CC8">
        <w:rPr>
          <w:rFonts w:ascii="Cambria" w:hAnsi="Cambria"/>
          <w:b/>
          <w:sz w:val="22"/>
          <w:szCs w:val="22"/>
        </w:rPr>
        <w:t xml:space="preserve"> </w:t>
      </w:r>
      <w:proofErr w:type="spellStart"/>
      <w:r w:rsidR="007F1CC8">
        <w:rPr>
          <w:rFonts w:ascii="Cambria" w:hAnsi="Cambria"/>
          <w:b/>
          <w:sz w:val="22"/>
          <w:szCs w:val="22"/>
        </w:rPr>
        <w:t>obrazovanje</w:t>
      </w:r>
      <w:proofErr w:type="spellEnd"/>
      <w:r w:rsidR="007F1CC8">
        <w:rPr>
          <w:rFonts w:ascii="Cambria" w:hAnsi="Cambria"/>
          <w:b/>
          <w:sz w:val="22"/>
          <w:szCs w:val="22"/>
        </w:rPr>
        <w:t>, 2010-2019</w:t>
      </w:r>
    </w:p>
    <w:p w14:paraId="364EE400" w14:textId="514F11BF" w:rsidR="004660A9" w:rsidRPr="0032035D" w:rsidRDefault="00133DDF" w:rsidP="004660A9">
      <w:pPr>
        <w:rPr>
          <w:rFonts w:ascii="Cambria" w:hAnsi="Cambria"/>
          <w:b/>
          <w:sz w:val="22"/>
          <w:szCs w:val="22"/>
        </w:rPr>
      </w:pPr>
      <w:r>
        <w:rPr>
          <w:noProof/>
        </w:rPr>
        <w:drawing>
          <wp:inline distT="0" distB="0" distL="0" distR="0" wp14:anchorId="6168A03B" wp14:editId="05D7DB18">
            <wp:extent cx="4572000" cy="2755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72000" cy="2755900"/>
                    </a:xfrm>
                    <a:prstGeom prst="rect">
                      <a:avLst/>
                    </a:prstGeom>
                  </pic:spPr>
                </pic:pic>
              </a:graphicData>
            </a:graphic>
          </wp:inline>
        </w:drawing>
      </w:r>
    </w:p>
    <w:p w14:paraId="0B8DB08A" w14:textId="77777777" w:rsidR="004660A9" w:rsidRPr="00B0726C" w:rsidRDefault="004660A9" w:rsidP="004660A9">
      <w:pPr>
        <w:jc w:val="both"/>
        <w:rPr>
          <w:rFonts w:asciiTheme="minorHAnsi" w:hAnsiTheme="minorHAnsi"/>
          <w:sz w:val="18"/>
          <w:szCs w:val="18"/>
        </w:rPr>
      </w:pPr>
      <w:proofErr w:type="spellStart"/>
      <w:r w:rsidRPr="00B0726C">
        <w:rPr>
          <w:rFonts w:asciiTheme="minorHAnsi" w:hAnsiTheme="minorHAnsi"/>
          <w:sz w:val="18"/>
          <w:szCs w:val="18"/>
        </w:rPr>
        <w:t>Izvor</w:t>
      </w:r>
      <w:proofErr w:type="spellEnd"/>
      <w:r w:rsidRPr="00B0726C">
        <w:rPr>
          <w:rFonts w:asciiTheme="minorHAnsi" w:hAnsiTheme="minorHAnsi"/>
          <w:sz w:val="18"/>
          <w:szCs w:val="18"/>
        </w:rPr>
        <w:t xml:space="preserve">: </w:t>
      </w:r>
      <w:proofErr w:type="spellStart"/>
      <w:r w:rsidRPr="00B0726C">
        <w:rPr>
          <w:rFonts w:asciiTheme="minorHAnsi" w:hAnsiTheme="minorHAnsi"/>
          <w:sz w:val="18"/>
          <w:szCs w:val="18"/>
        </w:rPr>
        <w:t>Devinfo</w:t>
      </w:r>
      <w:proofErr w:type="spellEnd"/>
      <w:r w:rsidRPr="00B0726C">
        <w:rPr>
          <w:rFonts w:asciiTheme="minorHAnsi" w:hAnsiTheme="minorHAnsi"/>
          <w:sz w:val="18"/>
          <w:szCs w:val="18"/>
        </w:rPr>
        <w:t>, RZS</w:t>
      </w:r>
    </w:p>
    <w:p w14:paraId="5C7E8A5E" w14:textId="0115510F" w:rsidR="002C0609" w:rsidRDefault="002C0609" w:rsidP="00DB5D24">
      <w:pPr>
        <w:rPr>
          <w:rFonts w:asciiTheme="minorHAnsi" w:hAnsiTheme="minorHAnsi"/>
          <w:b/>
          <w:i/>
        </w:rPr>
      </w:pPr>
    </w:p>
    <w:p w14:paraId="29D36411" w14:textId="2DB2A9A0" w:rsidR="00061868" w:rsidRDefault="00061868" w:rsidP="00DB5D24">
      <w:pPr>
        <w:rPr>
          <w:rFonts w:asciiTheme="minorHAnsi" w:hAnsiTheme="minorHAnsi"/>
          <w:b/>
          <w:i/>
        </w:rPr>
      </w:pPr>
    </w:p>
    <w:p w14:paraId="3A223CE6" w14:textId="4E87169D" w:rsidR="00061868" w:rsidRDefault="00061868" w:rsidP="00DB5D24">
      <w:pPr>
        <w:rPr>
          <w:rFonts w:asciiTheme="minorHAnsi" w:hAnsiTheme="minorHAnsi"/>
          <w:b/>
          <w:i/>
        </w:rPr>
      </w:pPr>
    </w:p>
    <w:p w14:paraId="2F7B591B" w14:textId="2A163302" w:rsidR="00061868" w:rsidRDefault="00061868" w:rsidP="00DB5D24">
      <w:pPr>
        <w:rPr>
          <w:rFonts w:asciiTheme="minorHAnsi" w:hAnsiTheme="minorHAnsi"/>
          <w:b/>
          <w:i/>
        </w:rPr>
      </w:pPr>
    </w:p>
    <w:p w14:paraId="30AF912B" w14:textId="5A60F65C" w:rsidR="00061868" w:rsidRDefault="00061868" w:rsidP="00DB5D24">
      <w:pPr>
        <w:rPr>
          <w:rFonts w:asciiTheme="minorHAnsi" w:hAnsiTheme="minorHAnsi"/>
          <w:b/>
          <w:i/>
        </w:rPr>
      </w:pPr>
    </w:p>
    <w:p w14:paraId="54D81C29" w14:textId="01BD2A96" w:rsidR="00061868" w:rsidRDefault="00061868" w:rsidP="00DB5D24">
      <w:pPr>
        <w:rPr>
          <w:rFonts w:asciiTheme="minorHAnsi" w:hAnsiTheme="minorHAnsi"/>
          <w:b/>
          <w:i/>
        </w:rPr>
      </w:pPr>
    </w:p>
    <w:p w14:paraId="5117803A" w14:textId="0D9F12B5" w:rsidR="00061868" w:rsidRDefault="00061868" w:rsidP="00DB5D24">
      <w:pPr>
        <w:rPr>
          <w:rFonts w:asciiTheme="minorHAnsi" w:hAnsiTheme="minorHAnsi"/>
          <w:b/>
          <w:i/>
        </w:rPr>
      </w:pPr>
    </w:p>
    <w:p w14:paraId="2A9D67DF" w14:textId="73A69FBD" w:rsidR="00061868" w:rsidRDefault="00061868" w:rsidP="00DB5D24">
      <w:pPr>
        <w:rPr>
          <w:rFonts w:asciiTheme="minorHAnsi" w:hAnsiTheme="minorHAnsi"/>
          <w:b/>
          <w:i/>
        </w:rPr>
      </w:pPr>
    </w:p>
    <w:p w14:paraId="5A4B0BAC" w14:textId="77777777" w:rsidR="00061868" w:rsidRDefault="00061868" w:rsidP="00DB5D24">
      <w:pPr>
        <w:rPr>
          <w:rFonts w:asciiTheme="minorHAnsi" w:hAnsiTheme="minorHAnsi"/>
          <w:b/>
          <w:i/>
        </w:rPr>
      </w:pPr>
    </w:p>
    <w:p w14:paraId="49B0883A" w14:textId="4D73A2AE" w:rsidR="00DB5D24" w:rsidRPr="002C0609" w:rsidRDefault="0034299C" w:rsidP="0034299C">
      <w:pPr>
        <w:pBdr>
          <w:top w:val="single" w:sz="4" w:space="1" w:color="auto"/>
          <w:left w:val="single" w:sz="4" w:space="4" w:color="auto"/>
          <w:bottom w:val="single" w:sz="4" w:space="1" w:color="auto"/>
          <w:right w:val="single" w:sz="4" w:space="4" w:color="auto"/>
        </w:pBdr>
        <w:rPr>
          <w:rFonts w:asciiTheme="minorHAnsi" w:hAnsiTheme="minorHAnsi"/>
          <w:b/>
          <w:i/>
          <w:sz w:val="20"/>
          <w:szCs w:val="20"/>
        </w:rPr>
      </w:pPr>
      <w:proofErr w:type="spellStart"/>
      <w:r w:rsidRPr="002C0609">
        <w:rPr>
          <w:rFonts w:asciiTheme="minorHAnsi" w:hAnsiTheme="minorHAnsi"/>
          <w:b/>
          <w:smallCaps/>
          <w:color w:val="000000" w:themeColor="text1"/>
          <w:sz w:val="20"/>
          <w:szCs w:val="20"/>
        </w:rPr>
        <w:t>Okvir</w:t>
      </w:r>
      <w:proofErr w:type="spellEnd"/>
      <w:r w:rsidRPr="002C0609">
        <w:rPr>
          <w:rFonts w:asciiTheme="minorHAnsi" w:hAnsiTheme="minorHAnsi"/>
          <w:b/>
          <w:smallCaps/>
          <w:color w:val="000000" w:themeColor="text1"/>
          <w:sz w:val="20"/>
          <w:szCs w:val="20"/>
        </w:rPr>
        <w:t xml:space="preserve"> </w:t>
      </w:r>
      <w:r w:rsidR="00793676">
        <w:rPr>
          <w:rFonts w:asciiTheme="minorHAnsi" w:hAnsiTheme="minorHAnsi"/>
          <w:b/>
          <w:smallCaps/>
          <w:color w:val="000000" w:themeColor="text1"/>
          <w:sz w:val="20"/>
          <w:szCs w:val="20"/>
        </w:rPr>
        <w:t>5</w:t>
      </w:r>
      <w:r w:rsidRPr="002C0609">
        <w:rPr>
          <w:rFonts w:asciiTheme="minorHAnsi" w:hAnsiTheme="minorHAnsi"/>
          <w:b/>
          <w:smallCaps/>
          <w:color w:val="000000" w:themeColor="text1"/>
          <w:sz w:val="20"/>
          <w:szCs w:val="20"/>
        </w:rPr>
        <w:t xml:space="preserve">.  </w:t>
      </w:r>
      <w:proofErr w:type="spellStart"/>
      <w:r w:rsidRPr="002C0609">
        <w:rPr>
          <w:rFonts w:asciiTheme="minorHAnsi" w:hAnsiTheme="minorHAnsi"/>
          <w:b/>
          <w:smallCaps/>
          <w:color w:val="000000" w:themeColor="text1"/>
          <w:sz w:val="20"/>
          <w:szCs w:val="20"/>
        </w:rPr>
        <w:t>Indikatori</w:t>
      </w:r>
      <w:proofErr w:type="spellEnd"/>
      <w:r w:rsidRPr="002C0609">
        <w:rPr>
          <w:rFonts w:asciiTheme="minorHAnsi" w:hAnsiTheme="minorHAnsi"/>
          <w:b/>
          <w:smallCaps/>
          <w:color w:val="000000" w:themeColor="text1"/>
          <w:sz w:val="20"/>
          <w:szCs w:val="20"/>
        </w:rPr>
        <w:t xml:space="preserve"> </w:t>
      </w:r>
      <w:proofErr w:type="spellStart"/>
      <w:r w:rsidRPr="002C0609">
        <w:rPr>
          <w:rFonts w:asciiTheme="minorHAnsi" w:hAnsiTheme="minorHAnsi"/>
          <w:b/>
          <w:smallCaps/>
          <w:color w:val="000000" w:themeColor="text1"/>
          <w:sz w:val="20"/>
          <w:szCs w:val="20"/>
        </w:rPr>
        <w:t>osnovnog</w:t>
      </w:r>
      <w:proofErr w:type="spellEnd"/>
      <w:r w:rsidR="003130B7">
        <w:rPr>
          <w:rFonts w:asciiTheme="minorHAnsi" w:hAnsiTheme="minorHAnsi"/>
          <w:b/>
          <w:smallCaps/>
          <w:color w:val="000000" w:themeColor="text1"/>
          <w:sz w:val="20"/>
          <w:szCs w:val="20"/>
        </w:rPr>
        <w:t>/</w:t>
      </w:r>
      <w:proofErr w:type="spellStart"/>
      <w:r w:rsidR="003130B7">
        <w:rPr>
          <w:rFonts w:asciiTheme="minorHAnsi" w:hAnsiTheme="minorHAnsi"/>
          <w:b/>
          <w:smallCaps/>
          <w:color w:val="000000" w:themeColor="text1"/>
          <w:sz w:val="20"/>
          <w:szCs w:val="20"/>
        </w:rPr>
        <w:t>srednjeg</w:t>
      </w:r>
      <w:proofErr w:type="spellEnd"/>
      <w:r w:rsidRPr="002C0609">
        <w:rPr>
          <w:rFonts w:asciiTheme="minorHAnsi" w:hAnsiTheme="minorHAnsi"/>
          <w:b/>
          <w:smallCaps/>
          <w:color w:val="000000" w:themeColor="text1"/>
          <w:sz w:val="20"/>
          <w:szCs w:val="20"/>
        </w:rPr>
        <w:t xml:space="preserve"> </w:t>
      </w:r>
      <w:proofErr w:type="spellStart"/>
      <w:r w:rsidRPr="002C0609">
        <w:rPr>
          <w:rFonts w:asciiTheme="minorHAnsi" w:hAnsiTheme="minorHAnsi"/>
          <w:b/>
          <w:smallCaps/>
          <w:color w:val="000000" w:themeColor="text1"/>
          <w:sz w:val="20"/>
          <w:szCs w:val="20"/>
        </w:rPr>
        <w:t>obrazovanja</w:t>
      </w:r>
      <w:proofErr w:type="spellEnd"/>
    </w:p>
    <w:p w14:paraId="37B3655F" w14:textId="77777777" w:rsidR="0034299C" w:rsidRPr="0034299C" w:rsidRDefault="0034299C" w:rsidP="0034299C">
      <w:pPr>
        <w:pBdr>
          <w:top w:val="single" w:sz="4" w:space="1" w:color="auto"/>
          <w:left w:val="single" w:sz="4" w:space="4" w:color="auto"/>
          <w:bottom w:val="single" w:sz="4" w:space="1" w:color="auto"/>
          <w:right w:val="single" w:sz="4" w:space="4" w:color="auto"/>
        </w:pBdr>
        <w:jc w:val="both"/>
        <w:rPr>
          <w:rFonts w:asciiTheme="minorHAnsi" w:hAnsiTheme="minorHAnsi"/>
          <w:b/>
          <w:i/>
          <w:sz w:val="10"/>
          <w:szCs w:val="10"/>
        </w:rPr>
      </w:pPr>
    </w:p>
    <w:p w14:paraId="796B3BEA" w14:textId="717C65C7" w:rsidR="0034299C" w:rsidRDefault="00DB5D24" w:rsidP="0034299C">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9"/>
          <w:szCs w:val="19"/>
        </w:rPr>
      </w:pPr>
      <w:r w:rsidRPr="003130B7">
        <w:rPr>
          <w:rFonts w:asciiTheme="minorHAnsi" w:hAnsiTheme="minorHAnsi" w:cstheme="minorHAnsi"/>
          <w:b/>
          <w:i/>
          <w:sz w:val="19"/>
          <w:szCs w:val="19"/>
        </w:rPr>
        <w:t xml:space="preserve">Neto </w:t>
      </w:r>
      <w:proofErr w:type="spellStart"/>
      <w:r w:rsidRPr="003130B7">
        <w:rPr>
          <w:rFonts w:asciiTheme="minorHAnsi" w:hAnsiTheme="minorHAnsi" w:cstheme="minorHAnsi"/>
          <w:b/>
          <w:i/>
          <w:sz w:val="19"/>
          <w:szCs w:val="19"/>
        </w:rPr>
        <w:t>stopa</w:t>
      </w:r>
      <w:proofErr w:type="spellEnd"/>
      <w:r w:rsidRPr="003130B7">
        <w:rPr>
          <w:rFonts w:asciiTheme="minorHAnsi" w:hAnsiTheme="minorHAnsi" w:cstheme="minorHAnsi"/>
          <w:b/>
          <w:i/>
          <w:sz w:val="19"/>
          <w:szCs w:val="19"/>
        </w:rPr>
        <w:t xml:space="preserve"> </w:t>
      </w:r>
      <w:proofErr w:type="spellStart"/>
      <w:r w:rsidRPr="003130B7">
        <w:rPr>
          <w:rFonts w:asciiTheme="minorHAnsi" w:hAnsiTheme="minorHAnsi" w:cstheme="minorHAnsi"/>
          <w:b/>
          <w:i/>
          <w:sz w:val="19"/>
          <w:szCs w:val="19"/>
        </w:rPr>
        <w:t>obuhvata</w:t>
      </w:r>
      <w:proofErr w:type="spellEnd"/>
      <w:r w:rsidRPr="003130B7">
        <w:rPr>
          <w:rFonts w:asciiTheme="minorHAnsi" w:hAnsiTheme="minorHAnsi" w:cstheme="minorHAnsi"/>
          <w:b/>
          <w:i/>
          <w:sz w:val="19"/>
          <w:szCs w:val="19"/>
        </w:rPr>
        <w:t xml:space="preserve"> </w:t>
      </w:r>
      <w:proofErr w:type="spellStart"/>
      <w:r w:rsidRPr="003130B7">
        <w:rPr>
          <w:rFonts w:asciiTheme="minorHAnsi" w:hAnsiTheme="minorHAnsi" w:cstheme="minorHAnsi"/>
          <w:b/>
          <w:i/>
          <w:sz w:val="19"/>
          <w:szCs w:val="19"/>
        </w:rPr>
        <w:t>osnovnim</w:t>
      </w:r>
      <w:proofErr w:type="spellEnd"/>
      <w:r w:rsidRPr="003130B7">
        <w:rPr>
          <w:rFonts w:asciiTheme="minorHAnsi" w:hAnsiTheme="minorHAnsi" w:cstheme="minorHAnsi"/>
          <w:b/>
          <w:i/>
          <w:sz w:val="19"/>
          <w:szCs w:val="19"/>
        </w:rPr>
        <w:t xml:space="preserve"> </w:t>
      </w:r>
      <w:proofErr w:type="spellStart"/>
      <w:r w:rsidRPr="003130B7">
        <w:rPr>
          <w:rFonts w:asciiTheme="minorHAnsi" w:hAnsiTheme="minorHAnsi" w:cstheme="minorHAnsi"/>
          <w:b/>
          <w:i/>
          <w:sz w:val="19"/>
          <w:szCs w:val="19"/>
        </w:rPr>
        <w:t>obrazovanjem</w:t>
      </w:r>
      <w:proofErr w:type="spellEnd"/>
      <w:r w:rsidR="0034299C" w:rsidRPr="003130B7">
        <w:rPr>
          <w:rFonts w:asciiTheme="minorHAnsi" w:hAnsiTheme="minorHAnsi" w:cstheme="minorHAnsi"/>
          <w:b/>
          <w:i/>
          <w:sz w:val="19"/>
          <w:szCs w:val="19"/>
        </w:rPr>
        <w:t xml:space="preserve"> </w:t>
      </w:r>
      <w:r w:rsidR="0034299C" w:rsidRPr="003130B7">
        <w:rPr>
          <w:rFonts w:asciiTheme="minorHAnsi" w:hAnsiTheme="minorHAnsi" w:cstheme="minorHAnsi"/>
          <w:sz w:val="19"/>
          <w:szCs w:val="19"/>
        </w:rPr>
        <w:t xml:space="preserve">- </w:t>
      </w:r>
      <w:proofErr w:type="spellStart"/>
      <w:r w:rsidR="002F32D8" w:rsidRPr="002F32D8">
        <w:rPr>
          <w:rFonts w:asciiTheme="minorHAnsi" w:hAnsiTheme="minorHAnsi" w:cstheme="minorHAnsi"/>
          <w:sz w:val="19"/>
          <w:szCs w:val="19"/>
        </w:rPr>
        <w:t>odnos</w:t>
      </w:r>
      <w:proofErr w:type="spellEnd"/>
      <w:r w:rsidR="002F32D8" w:rsidRPr="002F32D8">
        <w:rPr>
          <w:rFonts w:asciiTheme="minorHAnsi" w:hAnsiTheme="minorHAnsi" w:cstheme="minorHAnsi"/>
          <w:sz w:val="19"/>
          <w:szCs w:val="19"/>
        </w:rPr>
        <w:t xml:space="preserve"> </w:t>
      </w:r>
      <w:proofErr w:type="spellStart"/>
      <w:r w:rsidR="002F32D8" w:rsidRPr="002F32D8">
        <w:rPr>
          <w:rFonts w:asciiTheme="minorHAnsi" w:hAnsiTheme="minorHAnsi" w:cstheme="minorHAnsi"/>
          <w:sz w:val="19"/>
          <w:szCs w:val="19"/>
        </w:rPr>
        <w:t>broja</w:t>
      </w:r>
      <w:proofErr w:type="spellEnd"/>
      <w:r w:rsidR="002F32D8" w:rsidRPr="002F32D8">
        <w:rPr>
          <w:rFonts w:asciiTheme="minorHAnsi" w:hAnsiTheme="minorHAnsi" w:cstheme="minorHAnsi"/>
          <w:sz w:val="19"/>
          <w:szCs w:val="19"/>
        </w:rPr>
        <w:t xml:space="preserve"> </w:t>
      </w:r>
      <w:proofErr w:type="spellStart"/>
      <w:r w:rsidR="002F32D8" w:rsidRPr="002F32D8">
        <w:rPr>
          <w:rFonts w:asciiTheme="minorHAnsi" w:hAnsiTheme="minorHAnsi" w:cstheme="minorHAnsi"/>
          <w:sz w:val="19"/>
          <w:szCs w:val="19"/>
        </w:rPr>
        <w:t>učenika</w:t>
      </w:r>
      <w:proofErr w:type="spellEnd"/>
      <w:r w:rsidR="002F32D8" w:rsidRPr="002F32D8">
        <w:rPr>
          <w:rFonts w:asciiTheme="minorHAnsi" w:hAnsiTheme="minorHAnsi" w:cstheme="minorHAnsi"/>
          <w:sz w:val="19"/>
          <w:szCs w:val="19"/>
        </w:rPr>
        <w:t xml:space="preserve"> </w:t>
      </w:r>
      <w:proofErr w:type="spellStart"/>
      <w:r w:rsidR="002F32D8" w:rsidRPr="002F32D8">
        <w:rPr>
          <w:rFonts w:asciiTheme="minorHAnsi" w:hAnsiTheme="minorHAnsi" w:cstheme="minorHAnsi"/>
          <w:sz w:val="19"/>
          <w:szCs w:val="19"/>
        </w:rPr>
        <w:t>starosti</w:t>
      </w:r>
      <w:proofErr w:type="spellEnd"/>
      <w:r w:rsidR="002F32D8" w:rsidRPr="002F32D8">
        <w:rPr>
          <w:rFonts w:asciiTheme="minorHAnsi" w:hAnsiTheme="minorHAnsi" w:cstheme="minorHAnsi"/>
          <w:sz w:val="19"/>
          <w:szCs w:val="19"/>
        </w:rPr>
        <w:t xml:space="preserve"> 7-14 </w:t>
      </w:r>
      <w:proofErr w:type="spellStart"/>
      <w:r w:rsidR="002F32D8" w:rsidRPr="002F32D8">
        <w:rPr>
          <w:rFonts w:asciiTheme="minorHAnsi" w:hAnsiTheme="minorHAnsi" w:cstheme="minorHAnsi"/>
          <w:sz w:val="19"/>
          <w:szCs w:val="19"/>
        </w:rPr>
        <w:t>godina</w:t>
      </w:r>
      <w:proofErr w:type="spellEnd"/>
      <w:r w:rsidR="002F32D8" w:rsidRPr="002F32D8">
        <w:rPr>
          <w:rFonts w:asciiTheme="minorHAnsi" w:hAnsiTheme="minorHAnsi" w:cstheme="minorHAnsi"/>
          <w:sz w:val="19"/>
          <w:szCs w:val="19"/>
        </w:rPr>
        <w:t xml:space="preserve"> </w:t>
      </w:r>
      <w:proofErr w:type="spellStart"/>
      <w:r w:rsidR="002F32D8" w:rsidRPr="002F32D8">
        <w:rPr>
          <w:rFonts w:asciiTheme="minorHAnsi" w:hAnsiTheme="minorHAnsi" w:cstheme="minorHAnsi"/>
          <w:sz w:val="19"/>
          <w:szCs w:val="19"/>
        </w:rPr>
        <w:t>upisanih</w:t>
      </w:r>
      <w:proofErr w:type="spellEnd"/>
      <w:r w:rsidR="002F32D8" w:rsidRPr="002F32D8">
        <w:rPr>
          <w:rFonts w:asciiTheme="minorHAnsi" w:hAnsiTheme="minorHAnsi" w:cstheme="minorHAnsi"/>
          <w:sz w:val="19"/>
          <w:szCs w:val="19"/>
        </w:rPr>
        <w:t xml:space="preserve"> u </w:t>
      </w:r>
      <w:proofErr w:type="spellStart"/>
      <w:r w:rsidR="002F32D8" w:rsidRPr="002F32D8">
        <w:rPr>
          <w:rFonts w:asciiTheme="minorHAnsi" w:hAnsiTheme="minorHAnsi" w:cstheme="minorHAnsi"/>
          <w:sz w:val="19"/>
          <w:szCs w:val="19"/>
        </w:rPr>
        <w:t>redovne</w:t>
      </w:r>
      <w:proofErr w:type="spellEnd"/>
      <w:r w:rsidR="002F32D8" w:rsidRPr="002F32D8">
        <w:rPr>
          <w:rFonts w:asciiTheme="minorHAnsi" w:hAnsiTheme="minorHAnsi" w:cstheme="minorHAnsi"/>
          <w:sz w:val="19"/>
          <w:szCs w:val="19"/>
        </w:rPr>
        <w:t xml:space="preserve"> </w:t>
      </w:r>
      <w:proofErr w:type="spellStart"/>
      <w:r w:rsidR="002F32D8" w:rsidRPr="002F32D8">
        <w:rPr>
          <w:rFonts w:asciiTheme="minorHAnsi" w:hAnsiTheme="minorHAnsi" w:cstheme="minorHAnsi"/>
          <w:sz w:val="19"/>
          <w:szCs w:val="19"/>
        </w:rPr>
        <w:t>osnovne</w:t>
      </w:r>
      <w:proofErr w:type="spellEnd"/>
      <w:r w:rsidR="002F32D8" w:rsidRPr="002F32D8">
        <w:rPr>
          <w:rFonts w:asciiTheme="minorHAnsi" w:hAnsiTheme="minorHAnsi" w:cstheme="minorHAnsi"/>
          <w:sz w:val="19"/>
          <w:szCs w:val="19"/>
        </w:rPr>
        <w:t xml:space="preserve"> </w:t>
      </w:r>
      <w:proofErr w:type="spellStart"/>
      <w:r w:rsidR="002F32D8" w:rsidRPr="002F32D8">
        <w:rPr>
          <w:rFonts w:asciiTheme="minorHAnsi" w:hAnsiTheme="minorHAnsi" w:cstheme="minorHAnsi"/>
          <w:sz w:val="19"/>
          <w:szCs w:val="19"/>
        </w:rPr>
        <w:t>škole</w:t>
      </w:r>
      <w:proofErr w:type="spellEnd"/>
      <w:r w:rsidR="002F32D8" w:rsidRPr="002F32D8">
        <w:rPr>
          <w:rFonts w:asciiTheme="minorHAnsi" w:hAnsiTheme="minorHAnsi" w:cstheme="minorHAnsi"/>
          <w:sz w:val="19"/>
          <w:szCs w:val="19"/>
        </w:rPr>
        <w:t xml:space="preserve"> </w:t>
      </w:r>
      <w:proofErr w:type="spellStart"/>
      <w:r w:rsidR="002F32D8" w:rsidRPr="002F32D8">
        <w:rPr>
          <w:rFonts w:asciiTheme="minorHAnsi" w:hAnsiTheme="minorHAnsi" w:cstheme="minorHAnsi"/>
          <w:sz w:val="19"/>
          <w:szCs w:val="19"/>
        </w:rPr>
        <w:t>i</w:t>
      </w:r>
      <w:proofErr w:type="spellEnd"/>
      <w:r w:rsidR="002F32D8" w:rsidRPr="002F32D8">
        <w:rPr>
          <w:rFonts w:asciiTheme="minorHAnsi" w:hAnsiTheme="minorHAnsi" w:cstheme="minorHAnsi"/>
          <w:sz w:val="19"/>
          <w:szCs w:val="19"/>
        </w:rPr>
        <w:t xml:space="preserve"> </w:t>
      </w:r>
      <w:proofErr w:type="spellStart"/>
      <w:r w:rsidR="002F32D8" w:rsidRPr="002F32D8">
        <w:rPr>
          <w:rFonts w:asciiTheme="minorHAnsi" w:hAnsiTheme="minorHAnsi" w:cstheme="minorHAnsi"/>
          <w:sz w:val="19"/>
          <w:szCs w:val="19"/>
        </w:rPr>
        <w:t>generacije</w:t>
      </w:r>
      <w:proofErr w:type="spellEnd"/>
      <w:r w:rsidR="002F32D8" w:rsidRPr="002F32D8">
        <w:rPr>
          <w:rFonts w:asciiTheme="minorHAnsi" w:hAnsiTheme="minorHAnsi" w:cstheme="minorHAnsi"/>
          <w:sz w:val="19"/>
          <w:szCs w:val="19"/>
        </w:rPr>
        <w:t xml:space="preserve"> </w:t>
      </w:r>
      <w:proofErr w:type="spellStart"/>
      <w:r w:rsidR="002F32D8" w:rsidRPr="002F32D8">
        <w:rPr>
          <w:rFonts w:asciiTheme="minorHAnsi" w:hAnsiTheme="minorHAnsi" w:cstheme="minorHAnsi"/>
          <w:sz w:val="19"/>
          <w:szCs w:val="19"/>
        </w:rPr>
        <w:t>dece</w:t>
      </w:r>
      <w:proofErr w:type="spellEnd"/>
      <w:r w:rsidR="002F32D8" w:rsidRPr="002F32D8">
        <w:rPr>
          <w:rFonts w:asciiTheme="minorHAnsi" w:hAnsiTheme="minorHAnsi" w:cstheme="minorHAnsi"/>
          <w:sz w:val="19"/>
          <w:szCs w:val="19"/>
        </w:rPr>
        <w:t xml:space="preserve"> </w:t>
      </w:r>
      <w:proofErr w:type="spellStart"/>
      <w:r w:rsidR="002F32D8" w:rsidRPr="002F32D8">
        <w:rPr>
          <w:rFonts w:asciiTheme="minorHAnsi" w:hAnsiTheme="minorHAnsi" w:cstheme="minorHAnsi"/>
          <w:sz w:val="19"/>
          <w:szCs w:val="19"/>
        </w:rPr>
        <w:t>predviđene</w:t>
      </w:r>
      <w:proofErr w:type="spellEnd"/>
      <w:r w:rsidR="002F32D8" w:rsidRPr="002F32D8">
        <w:rPr>
          <w:rFonts w:asciiTheme="minorHAnsi" w:hAnsiTheme="minorHAnsi" w:cstheme="minorHAnsi"/>
          <w:sz w:val="19"/>
          <w:szCs w:val="19"/>
        </w:rPr>
        <w:t xml:space="preserve"> za </w:t>
      </w:r>
      <w:proofErr w:type="spellStart"/>
      <w:r w:rsidR="002F32D8" w:rsidRPr="002F32D8">
        <w:rPr>
          <w:rFonts w:asciiTheme="minorHAnsi" w:hAnsiTheme="minorHAnsi" w:cstheme="minorHAnsi"/>
          <w:sz w:val="19"/>
          <w:szCs w:val="19"/>
        </w:rPr>
        <w:t>pohađanje</w:t>
      </w:r>
      <w:proofErr w:type="spellEnd"/>
      <w:r w:rsidR="002F32D8" w:rsidRPr="002F32D8">
        <w:rPr>
          <w:rFonts w:asciiTheme="minorHAnsi" w:hAnsiTheme="minorHAnsi" w:cstheme="minorHAnsi"/>
          <w:sz w:val="19"/>
          <w:szCs w:val="19"/>
        </w:rPr>
        <w:t xml:space="preserve"> </w:t>
      </w:r>
      <w:proofErr w:type="spellStart"/>
      <w:r w:rsidR="002F32D8" w:rsidRPr="002F32D8">
        <w:rPr>
          <w:rFonts w:asciiTheme="minorHAnsi" w:hAnsiTheme="minorHAnsi" w:cstheme="minorHAnsi"/>
          <w:sz w:val="19"/>
          <w:szCs w:val="19"/>
        </w:rPr>
        <w:t>osnovnog</w:t>
      </w:r>
      <w:proofErr w:type="spellEnd"/>
      <w:r w:rsidR="002F32D8" w:rsidRPr="002F32D8">
        <w:rPr>
          <w:rFonts w:asciiTheme="minorHAnsi" w:hAnsiTheme="minorHAnsi" w:cstheme="minorHAnsi"/>
          <w:sz w:val="19"/>
          <w:szCs w:val="19"/>
        </w:rPr>
        <w:t xml:space="preserve"> </w:t>
      </w:r>
      <w:proofErr w:type="spellStart"/>
      <w:r w:rsidR="002F32D8" w:rsidRPr="002F32D8">
        <w:rPr>
          <w:rFonts w:asciiTheme="minorHAnsi" w:hAnsiTheme="minorHAnsi" w:cstheme="minorHAnsi"/>
          <w:sz w:val="19"/>
          <w:szCs w:val="19"/>
        </w:rPr>
        <w:t>obrazovanja</w:t>
      </w:r>
      <w:proofErr w:type="spellEnd"/>
      <w:r w:rsidR="00A5529B">
        <w:rPr>
          <w:rFonts w:asciiTheme="minorHAnsi" w:hAnsiTheme="minorHAnsi" w:cstheme="minorHAnsi"/>
          <w:sz w:val="19"/>
          <w:szCs w:val="19"/>
        </w:rPr>
        <w:t xml:space="preserve"> (</w:t>
      </w:r>
      <w:proofErr w:type="spellStart"/>
      <w:r w:rsidR="00A5529B">
        <w:rPr>
          <w:rFonts w:asciiTheme="minorHAnsi" w:hAnsiTheme="minorHAnsi" w:cstheme="minorHAnsi"/>
          <w:sz w:val="19"/>
          <w:szCs w:val="19"/>
        </w:rPr>
        <w:t>procenjen</w:t>
      </w:r>
      <w:proofErr w:type="spellEnd"/>
      <w:r w:rsidR="00A5529B">
        <w:rPr>
          <w:rFonts w:asciiTheme="minorHAnsi" w:hAnsiTheme="minorHAnsi" w:cstheme="minorHAnsi"/>
          <w:sz w:val="19"/>
          <w:szCs w:val="19"/>
        </w:rPr>
        <w:t xml:space="preserve"> </w:t>
      </w:r>
      <w:proofErr w:type="spellStart"/>
      <w:r w:rsidR="00A5529B">
        <w:rPr>
          <w:rFonts w:asciiTheme="minorHAnsi" w:hAnsiTheme="minorHAnsi" w:cstheme="minorHAnsi"/>
          <w:sz w:val="19"/>
          <w:szCs w:val="19"/>
        </w:rPr>
        <w:t>broj</w:t>
      </w:r>
      <w:proofErr w:type="spellEnd"/>
      <w:r w:rsidR="00A5529B">
        <w:rPr>
          <w:rFonts w:asciiTheme="minorHAnsi" w:hAnsiTheme="minorHAnsi" w:cstheme="minorHAnsi"/>
          <w:sz w:val="19"/>
          <w:szCs w:val="19"/>
        </w:rPr>
        <w:t xml:space="preserve"> </w:t>
      </w:r>
      <w:proofErr w:type="spellStart"/>
      <w:r w:rsidR="00A5529B">
        <w:rPr>
          <w:rFonts w:asciiTheme="minorHAnsi" w:hAnsiTheme="minorHAnsi" w:cstheme="minorHAnsi"/>
          <w:sz w:val="19"/>
          <w:szCs w:val="19"/>
        </w:rPr>
        <w:t>dece</w:t>
      </w:r>
      <w:proofErr w:type="spellEnd"/>
      <w:r w:rsidR="00A5529B">
        <w:rPr>
          <w:rFonts w:asciiTheme="minorHAnsi" w:hAnsiTheme="minorHAnsi" w:cstheme="minorHAnsi"/>
          <w:sz w:val="19"/>
          <w:szCs w:val="19"/>
        </w:rPr>
        <w:t xml:space="preserve"> 7-14)</w:t>
      </w:r>
      <w:r w:rsidR="002F32D8" w:rsidRPr="002F32D8">
        <w:rPr>
          <w:rFonts w:asciiTheme="minorHAnsi" w:hAnsiTheme="minorHAnsi" w:cstheme="minorHAnsi"/>
          <w:sz w:val="19"/>
          <w:szCs w:val="19"/>
        </w:rPr>
        <w:t>.</w:t>
      </w:r>
    </w:p>
    <w:p w14:paraId="6E25526B" w14:textId="7D60899A" w:rsidR="00644A2F" w:rsidRPr="00644A2F" w:rsidRDefault="00644A2F" w:rsidP="0034299C">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9"/>
          <w:szCs w:val="19"/>
        </w:rPr>
      </w:pPr>
      <w:proofErr w:type="spellStart"/>
      <w:r>
        <w:rPr>
          <w:rFonts w:asciiTheme="minorHAnsi" w:hAnsiTheme="minorHAnsi" w:cstheme="minorHAnsi"/>
          <w:b/>
          <w:i/>
          <w:sz w:val="19"/>
          <w:szCs w:val="19"/>
        </w:rPr>
        <w:t>Obuhvat</w:t>
      </w:r>
      <w:proofErr w:type="spellEnd"/>
      <w:r>
        <w:rPr>
          <w:rFonts w:asciiTheme="minorHAnsi" w:hAnsiTheme="minorHAnsi" w:cstheme="minorHAnsi"/>
          <w:b/>
          <w:i/>
          <w:sz w:val="19"/>
          <w:szCs w:val="19"/>
        </w:rPr>
        <w:t xml:space="preserve"> </w:t>
      </w:r>
      <w:proofErr w:type="spellStart"/>
      <w:r>
        <w:rPr>
          <w:rFonts w:asciiTheme="minorHAnsi" w:hAnsiTheme="minorHAnsi" w:cstheme="minorHAnsi"/>
          <w:b/>
          <w:i/>
          <w:sz w:val="19"/>
          <w:szCs w:val="19"/>
        </w:rPr>
        <w:t>dece</w:t>
      </w:r>
      <w:proofErr w:type="spellEnd"/>
      <w:r>
        <w:rPr>
          <w:rFonts w:asciiTheme="minorHAnsi" w:hAnsiTheme="minorHAnsi" w:cstheme="minorHAnsi"/>
          <w:b/>
          <w:i/>
          <w:sz w:val="19"/>
          <w:szCs w:val="19"/>
        </w:rPr>
        <w:t xml:space="preserve"> </w:t>
      </w:r>
      <w:proofErr w:type="spellStart"/>
      <w:r>
        <w:rPr>
          <w:rFonts w:asciiTheme="minorHAnsi" w:hAnsiTheme="minorHAnsi" w:cstheme="minorHAnsi"/>
          <w:b/>
          <w:i/>
          <w:sz w:val="19"/>
          <w:szCs w:val="19"/>
        </w:rPr>
        <w:t>srednjim</w:t>
      </w:r>
      <w:proofErr w:type="spellEnd"/>
      <w:r>
        <w:rPr>
          <w:rFonts w:asciiTheme="minorHAnsi" w:hAnsiTheme="minorHAnsi" w:cstheme="minorHAnsi"/>
          <w:b/>
          <w:i/>
          <w:sz w:val="19"/>
          <w:szCs w:val="19"/>
        </w:rPr>
        <w:t xml:space="preserve"> </w:t>
      </w:r>
      <w:proofErr w:type="spellStart"/>
      <w:r>
        <w:rPr>
          <w:rFonts w:asciiTheme="minorHAnsi" w:hAnsiTheme="minorHAnsi" w:cstheme="minorHAnsi"/>
          <w:b/>
          <w:i/>
          <w:sz w:val="19"/>
          <w:szCs w:val="19"/>
        </w:rPr>
        <w:t>obrazovanjem</w:t>
      </w:r>
      <w:proofErr w:type="spellEnd"/>
      <w:r>
        <w:rPr>
          <w:rFonts w:asciiTheme="minorHAnsi" w:hAnsiTheme="minorHAnsi" w:cstheme="minorHAnsi"/>
          <w:b/>
          <w:i/>
          <w:sz w:val="19"/>
          <w:szCs w:val="19"/>
        </w:rPr>
        <w:t xml:space="preserve"> </w:t>
      </w:r>
      <w:r w:rsidRPr="00644A2F">
        <w:rPr>
          <w:rFonts w:asciiTheme="minorHAnsi" w:hAnsiTheme="minorHAnsi" w:cstheme="minorHAnsi"/>
          <w:sz w:val="19"/>
          <w:szCs w:val="19"/>
        </w:rPr>
        <w:t xml:space="preserve">- </w:t>
      </w:r>
      <w:proofErr w:type="spellStart"/>
      <w:r w:rsidRPr="00644A2F">
        <w:rPr>
          <w:rFonts w:asciiTheme="minorHAnsi" w:hAnsiTheme="minorHAnsi" w:cstheme="minorHAnsi"/>
          <w:sz w:val="19"/>
          <w:szCs w:val="19"/>
        </w:rPr>
        <w:t>odnos</w:t>
      </w:r>
      <w:proofErr w:type="spellEnd"/>
      <w:r w:rsidRPr="00644A2F">
        <w:rPr>
          <w:rFonts w:asciiTheme="minorHAnsi" w:hAnsiTheme="minorHAnsi" w:cstheme="minorHAnsi"/>
          <w:sz w:val="19"/>
          <w:szCs w:val="19"/>
        </w:rPr>
        <w:t xml:space="preserve"> </w:t>
      </w:r>
      <w:proofErr w:type="spellStart"/>
      <w:r w:rsidRPr="00644A2F">
        <w:rPr>
          <w:rFonts w:asciiTheme="minorHAnsi" w:hAnsiTheme="minorHAnsi" w:cstheme="minorHAnsi"/>
          <w:sz w:val="19"/>
          <w:szCs w:val="19"/>
        </w:rPr>
        <w:t>broja</w:t>
      </w:r>
      <w:proofErr w:type="spellEnd"/>
      <w:r w:rsidRPr="00644A2F">
        <w:rPr>
          <w:rFonts w:asciiTheme="minorHAnsi" w:hAnsiTheme="minorHAnsi" w:cstheme="minorHAnsi"/>
          <w:sz w:val="19"/>
          <w:szCs w:val="19"/>
        </w:rPr>
        <w:t xml:space="preserve"> </w:t>
      </w:r>
      <w:proofErr w:type="spellStart"/>
      <w:r w:rsidRPr="00644A2F">
        <w:rPr>
          <w:rFonts w:asciiTheme="minorHAnsi" w:hAnsiTheme="minorHAnsi" w:cstheme="minorHAnsi"/>
          <w:sz w:val="19"/>
          <w:szCs w:val="19"/>
        </w:rPr>
        <w:t>učenika</w:t>
      </w:r>
      <w:proofErr w:type="spellEnd"/>
      <w:r w:rsidRPr="00644A2F">
        <w:rPr>
          <w:rFonts w:asciiTheme="minorHAnsi" w:hAnsiTheme="minorHAnsi" w:cstheme="minorHAnsi"/>
          <w:sz w:val="19"/>
          <w:szCs w:val="19"/>
        </w:rPr>
        <w:t xml:space="preserve"> </w:t>
      </w:r>
      <w:proofErr w:type="spellStart"/>
      <w:r w:rsidRPr="00644A2F">
        <w:rPr>
          <w:rFonts w:asciiTheme="minorHAnsi" w:hAnsiTheme="minorHAnsi" w:cstheme="minorHAnsi"/>
          <w:sz w:val="19"/>
          <w:szCs w:val="19"/>
        </w:rPr>
        <w:t>upisanih</w:t>
      </w:r>
      <w:proofErr w:type="spellEnd"/>
      <w:r w:rsidRPr="00644A2F">
        <w:rPr>
          <w:rFonts w:asciiTheme="minorHAnsi" w:hAnsiTheme="minorHAnsi" w:cstheme="minorHAnsi"/>
          <w:sz w:val="19"/>
          <w:szCs w:val="19"/>
        </w:rPr>
        <w:t xml:space="preserve"> u </w:t>
      </w:r>
      <w:proofErr w:type="spellStart"/>
      <w:r w:rsidRPr="00644A2F">
        <w:rPr>
          <w:rFonts w:asciiTheme="minorHAnsi" w:hAnsiTheme="minorHAnsi" w:cstheme="minorHAnsi"/>
          <w:sz w:val="19"/>
          <w:szCs w:val="19"/>
        </w:rPr>
        <w:t>srednje</w:t>
      </w:r>
      <w:proofErr w:type="spellEnd"/>
      <w:r w:rsidRPr="00644A2F">
        <w:rPr>
          <w:rFonts w:asciiTheme="minorHAnsi" w:hAnsiTheme="minorHAnsi" w:cstheme="minorHAnsi"/>
          <w:sz w:val="19"/>
          <w:szCs w:val="19"/>
        </w:rPr>
        <w:t xml:space="preserve"> </w:t>
      </w:r>
      <w:proofErr w:type="spellStart"/>
      <w:r w:rsidRPr="00644A2F">
        <w:rPr>
          <w:rFonts w:asciiTheme="minorHAnsi" w:hAnsiTheme="minorHAnsi" w:cstheme="minorHAnsi"/>
          <w:sz w:val="19"/>
          <w:szCs w:val="19"/>
        </w:rPr>
        <w:t>škole</w:t>
      </w:r>
      <w:proofErr w:type="spellEnd"/>
      <w:r w:rsidRPr="00644A2F">
        <w:rPr>
          <w:rFonts w:asciiTheme="minorHAnsi" w:hAnsiTheme="minorHAnsi" w:cstheme="minorHAnsi"/>
          <w:sz w:val="19"/>
          <w:szCs w:val="19"/>
        </w:rPr>
        <w:t xml:space="preserve"> </w:t>
      </w:r>
      <w:proofErr w:type="spellStart"/>
      <w:r w:rsidRPr="00644A2F">
        <w:rPr>
          <w:rFonts w:asciiTheme="minorHAnsi" w:hAnsiTheme="minorHAnsi" w:cstheme="minorHAnsi"/>
          <w:sz w:val="19"/>
          <w:szCs w:val="19"/>
        </w:rPr>
        <w:t>i</w:t>
      </w:r>
      <w:proofErr w:type="spellEnd"/>
      <w:r w:rsidRPr="00644A2F">
        <w:rPr>
          <w:rFonts w:asciiTheme="minorHAnsi" w:hAnsiTheme="minorHAnsi" w:cstheme="minorHAnsi"/>
          <w:sz w:val="19"/>
          <w:szCs w:val="19"/>
        </w:rPr>
        <w:t xml:space="preserve"> </w:t>
      </w:r>
      <w:proofErr w:type="spellStart"/>
      <w:r w:rsidRPr="00644A2F">
        <w:rPr>
          <w:rFonts w:asciiTheme="minorHAnsi" w:hAnsiTheme="minorHAnsi" w:cstheme="minorHAnsi"/>
          <w:sz w:val="19"/>
          <w:szCs w:val="19"/>
        </w:rPr>
        <w:t>broja</w:t>
      </w:r>
      <w:proofErr w:type="spellEnd"/>
      <w:r w:rsidRPr="00644A2F">
        <w:rPr>
          <w:rFonts w:asciiTheme="minorHAnsi" w:hAnsiTheme="minorHAnsi" w:cstheme="minorHAnsi"/>
          <w:sz w:val="19"/>
          <w:szCs w:val="19"/>
        </w:rPr>
        <w:t xml:space="preserve"> </w:t>
      </w:r>
      <w:proofErr w:type="spellStart"/>
      <w:r w:rsidRPr="00644A2F">
        <w:rPr>
          <w:rFonts w:asciiTheme="minorHAnsi" w:hAnsiTheme="minorHAnsi" w:cstheme="minorHAnsi"/>
          <w:sz w:val="19"/>
          <w:szCs w:val="19"/>
        </w:rPr>
        <w:t>dece</w:t>
      </w:r>
      <w:proofErr w:type="spellEnd"/>
      <w:r w:rsidRPr="00644A2F">
        <w:rPr>
          <w:rFonts w:asciiTheme="minorHAnsi" w:hAnsiTheme="minorHAnsi" w:cstheme="minorHAnsi"/>
          <w:sz w:val="19"/>
          <w:szCs w:val="19"/>
        </w:rPr>
        <w:t xml:space="preserve"> </w:t>
      </w:r>
      <w:proofErr w:type="spellStart"/>
      <w:r w:rsidRPr="00644A2F">
        <w:rPr>
          <w:rFonts w:asciiTheme="minorHAnsi" w:hAnsiTheme="minorHAnsi" w:cstheme="minorHAnsi"/>
          <w:sz w:val="19"/>
          <w:szCs w:val="19"/>
        </w:rPr>
        <w:t>odgovarajuće</w:t>
      </w:r>
      <w:proofErr w:type="spellEnd"/>
      <w:r w:rsidRPr="00644A2F">
        <w:rPr>
          <w:rFonts w:asciiTheme="minorHAnsi" w:hAnsiTheme="minorHAnsi" w:cstheme="minorHAnsi"/>
          <w:sz w:val="19"/>
          <w:szCs w:val="19"/>
        </w:rPr>
        <w:t xml:space="preserve"> </w:t>
      </w:r>
      <w:proofErr w:type="spellStart"/>
      <w:r w:rsidRPr="00644A2F">
        <w:rPr>
          <w:rFonts w:asciiTheme="minorHAnsi" w:hAnsiTheme="minorHAnsi" w:cstheme="minorHAnsi"/>
          <w:sz w:val="19"/>
          <w:szCs w:val="19"/>
        </w:rPr>
        <w:t>starosne</w:t>
      </w:r>
      <w:proofErr w:type="spellEnd"/>
      <w:r w:rsidRPr="00644A2F">
        <w:rPr>
          <w:rFonts w:asciiTheme="minorHAnsi" w:hAnsiTheme="minorHAnsi" w:cstheme="minorHAnsi"/>
          <w:sz w:val="19"/>
          <w:szCs w:val="19"/>
        </w:rPr>
        <w:t xml:space="preserve"> </w:t>
      </w:r>
      <w:proofErr w:type="spellStart"/>
      <w:r w:rsidRPr="00644A2F">
        <w:rPr>
          <w:rFonts w:asciiTheme="minorHAnsi" w:hAnsiTheme="minorHAnsi" w:cstheme="minorHAnsi"/>
          <w:sz w:val="19"/>
          <w:szCs w:val="19"/>
        </w:rPr>
        <w:t>grupe</w:t>
      </w:r>
      <w:proofErr w:type="spellEnd"/>
      <w:r>
        <w:rPr>
          <w:rFonts w:asciiTheme="minorHAnsi" w:hAnsiTheme="minorHAnsi" w:cstheme="minorHAnsi"/>
          <w:sz w:val="19"/>
          <w:szCs w:val="19"/>
        </w:rPr>
        <w:t xml:space="preserve"> (15-18)</w:t>
      </w:r>
      <w:r w:rsidR="00815324">
        <w:rPr>
          <w:rFonts w:asciiTheme="minorHAnsi" w:hAnsiTheme="minorHAnsi" w:cstheme="minorHAnsi"/>
          <w:sz w:val="19"/>
          <w:szCs w:val="19"/>
        </w:rPr>
        <w:t xml:space="preserve"> s </w:t>
      </w:r>
      <w:proofErr w:type="spellStart"/>
      <w:r w:rsidR="00815324">
        <w:rPr>
          <w:rFonts w:asciiTheme="minorHAnsi" w:hAnsiTheme="minorHAnsi" w:cstheme="minorHAnsi"/>
          <w:sz w:val="19"/>
          <w:szCs w:val="19"/>
        </w:rPr>
        <w:t>tim</w:t>
      </w:r>
      <w:proofErr w:type="spellEnd"/>
      <w:r w:rsidR="00815324">
        <w:rPr>
          <w:rFonts w:asciiTheme="minorHAnsi" w:hAnsiTheme="minorHAnsi" w:cstheme="minorHAnsi"/>
          <w:sz w:val="19"/>
          <w:szCs w:val="19"/>
        </w:rPr>
        <w:t xml:space="preserve"> </w:t>
      </w:r>
      <w:proofErr w:type="spellStart"/>
      <w:r w:rsidR="00815324">
        <w:rPr>
          <w:rFonts w:asciiTheme="minorHAnsi" w:hAnsiTheme="minorHAnsi" w:cstheme="minorHAnsi"/>
          <w:sz w:val="19"/>
          <w:szCs w:val="19"/>
        </w:rPr>
        <w:t>što</w:t>
      </w:r>
      <w:proofErr w:type="spellEnd"/>
      <w:r w:rsidR="00815324">
        <w:rPr>
          <w:rFonts w:asciiTheme="minorHAnsi" w:hAnsiTheme="minorHAnsi" w:cstheme="minorHAnsi"/>
          <w:sz w:val="19"/>
          <w:szCs w:val="19"/>
        </w:rPr>
        <w:t xml:space="preserve"> se </w:t>
      </w:r>
      <w:proofErr w:type="spellStart"/>
      <w:r w:rsidR="00815324">
        <w:rPr>
          <w:rFonts w:asciiTheme="minorHAnsi" w:hAnsiTheme="minorHAnsi" w:cstheme="minorHAnsi"/>
          <w:sz w:val="19"/>
          <w:szCs w:val="19"/>
        </w:rPr>
        <w:t>ovaj</w:t>
      </w:r>
      <w:proofErr w:type="spellEnd"/>
      <w:r w:rsidR="00815324">
        <w:rPr>
          <w:rFonts w:asciiTheme="minorHAnsi" w:hAnsiTheme="minorHAnsi" w:cstheme="minorHAnsi"/>
          <w:sz w:val="19"/>
          <w:szCs w:val="19"/>
        </w:rPr>
        <w:t xml:space="preserve"> </w:t>
      </w:r>
      <w:proofErr w:type="spellStart"/>
      <w:r w:rsidR="00815324">
        <w:rPr>
          <w:rFonts w:asciiTheme="minorHAnsi" w:hAnsiTheme="minorHAnsi" w:cstheme="minorHAnsi"/>
          <w:sz w:val="19"/>
          <w:szCs w:val="19"/>
        </w:rPr>
        <w:t>podatak</w:t>
      </w:r>
      <w:proofErr w:type="spellEnd"/>
      <w:r w:rsidR="00815324">
        <w:rPr>
          <w:rFonts w:asciiTheme="minorHAnsi" w:hAnsiTheme="minorHAnsi" w:cstheme="minorHAnsi"/>
          <w:sz w:val="19"/>
          <w:szCs w:val="19"/>
        </w:rPr>
        <w:t xml:space="preserve"> ne </w:t>
      </w:r>
      <w:proofErr w:type="spellStart"/>
      <w:r w:rsidR="00815324">
        <w:rPr>
          <w:rFonts w:asciiTheme="minorHAnsi" w:hAnsiTheme="minorHAnsi" w:cstheme="minorHAnsi"/>
          <w:sz w:val="19"/>
          <w:szCs w:val="19"/>
        </w:rPr>
        <w:t>vodi</w:t>
      </w:r>
      <w:proofErr w:type="spellEnd"/>
      <w:r w:rsidR="00815324">
        <w:rPr>
          <w:rFonts w:asciiTheme="minorHAnsi" w:hAnsiTheme="minorHAnsi" w:cstheme="minorHAnsi"/>
          <w:sz w:val="19"/>
          <w:szCs w:val="19"/>
        </w:rPr>
        <w:t xml:space="preserve"> za </w:t>
      </w:r>
      <w:proofErr w:type="spellStart"/>
      <w:r w:rsidR="00815324">
        <w:rPr>
          <w:rFonts w:asciiTheme="minorHAnsi" w:hAnsiTheme="minorHAnsi" w:cstheme="minorHAnsi"/>
          <w:sz w:val="19"/>
          <w:szCs w:val="19"/>
        </w:rPr>
        <w:t>lokalni</w:t>
      </w:r>
      <w:proofErr w:type="spellEnd"/>
      <w:r w:rsidR="00815324">
        <w:rPr>
          <w:rFonts w:asciiTheme="minorHAnsi" w:hAnsiTheme="minorHAnsi" w:cstheme="minorHAnsi"/>
          <w:sz w:val="19"/>
          <w:szCs w:val="19"/>
        </w:rPr>
        <w:t xml:space="preserve"> </w:t>
      </w:r>
      <w:proofErr w:type="spellStart"/>
      <w:r w:rsidR="00815324">
        <w:rPr>
          <w:rFonts w:asciiTheme="minorHAnsi" w:hAnsiTheme="minorHAnsi" w:cstheme="minorHAnsi"/>
          <w:sz w:val="19"/>
          <w:szCs w:val="19"/>
        </w:rPr>
        <w:t>nivo</w:t>
      </w:r>
      <w:proofErr w:type="spellEnd"/>
      <w:r w:rsidR="00815324">
        <w:rPr>
          <w:rFonts w:asciiTheme="minorHAnsi" w:hAnsiTheme="minorHAnsi" w:cstheme="minorHAnsi"/>
          <w:sz w:val="19"/>
          <w:szCs w:val="19"/>
        </w:rPr>
        <w:t>.</w:t>
      </w:r>
    </w:p>
    <w:p w14:paraId="7E8E29EF" w14:textId="1B27AA16" w:rsidR="0034299C" w:rsidRPr="003130B7" w:rsidRDefault="0034299C" w:rsidP="002C0609">
      <w:pPr>
        <w:pBdr>
          <w:top w:val="single" w:sz="4" w:space="1" w:color="auto"/>
          <w:left w:val="single" w:sz="4" w:space="4" w:color="auto"/>
          <w:bottom w:val="single" w:sz="4" w:space="1" w:color="auto"/>
          <w:right w:val="single" w:sz="4" w:space="4" w:color="auto"/>
        </w:pBdr>
        <w:spacing w:before="60"/>
        <w:jc w:val="both"/>
        <w:rPr>
          <w:rFonts w:asciiTheme="minorHAnsi" w:hAnsiTheme="minorHAnsi" w:cstheme="minorHAnsi"/>
          <w:sz w:val="19"/>
          <w:szCs w:val="19"/>
        </w:rPr>
      </w:pPr>
      <w:proofErr w:type="spellStart"/>
      <w:r w:rsidRPr="003130B7">
        <w:rPr>
          <w:rFonts w:asciiTheme="minorHAnsi" w:hAnsiTheme="minorHAnsi" w:cstheme="minorHAnsi"/>
          <w:b/>
          <w:i/>
          <w:sz w:val="19"/>
          <w:szCs w:val="19"/>
        </w:rPr>
        <w:t>S</w:t>
      </w:r>
      <w:r w:rsidR="00DB5D24" w:rsidRPr="003130B7">
        <w:rPr>
          <w:rFonts w:asciiTheme="minorHAnsi" w:hAnsiTheme="minorHAnsi" w:cstheme="minorHAnsi"/>
          <w:b/>
          <w:i/>
          <w:sz w:val="19"/>
          <w:szCs w:val="19"/>
        </w:rPr>
        <w:t>topa</w:t>
      </w:r>
      <w:proofErr w:type="spellEnd"/>
      <w:r w:rsidR="00DB5D24" w:rsidRPr="003130B7">
        <w:rPr>
          <w:rFonts w:asciiTheme="minorHAnsi" w:hAnsiTheme="minorHAnsi" w:cstheme="minorHAnsi"/>
          <w:b/>
          <w:i/>
          <w:sz w:val="19"/>
          <w:szCs w:val="19"/>
        </w:rPr>
        <w:t xml:space="preserve"> </w:t>
      </w:r>
      <w:proofErr w:type="spellStart"/>
      <w:r w:rsidR="00DB5D24" w:rsidRPr="003130B7">
        <w:rPr>
          <w:rFonts w:asciiTheme="minorHAnsi" w:hAnsiTheme="minorHAnsi" w:cstheme="minorHAnsi"/>
          <w:b/>
          <w:i/>
          <w:sz w:val="19"/>
          <w:szCs w:val="19"/>
        </w:rPr>
        <w:t>završavanja</w:t>
      </w:r>
      <w:proofErr w:type="spellEnd"/>
      <w:r w:rsidR="00DB5D24" w:rsidRPr="003130B7">
        <w:rPr>
          <w:rFonts w:asciiTheme="minorHAnsi" w:hAnsiTheme="minorHAnsi" w:cstheme="minorHAnsi"/>
          <w:b/>
          <w:i/>
          <w:sz w:val="19"/>
          <w:szCs w:val="19"/>
        </w:rPr>
        <w:t xml:space="preserve"> </w:t>
      </w:r>
      <w:proofErr w:type="spellStart"/>
      <w:r w:rsidR="00DB5D24" w:rsidRPr="003130B7">
        <w:rPr>
          <w:rFonts w:asciiTheme="minorHAnsi" w:hAnsiTheme="minorHAnsi" w:cstheme="minorHAnsi"/>
          <w:b/>
          <w:i/>
          <w:sz w:val="19"/>
          <w:szCs w:val="19"/>
        </w:rPr>
        <w:t>osnovn</w:t>
      </w:r>
      <w:r w:rsidR="00DD30A9">
        <w:rPr>
          <w:rFonts w:asciiTheme="minorHAnsi" w:hAnsiTheme="minorHAnsi" w:cstheme="minorHAnsi"/>
          <w:b/>
          <w:i/>
          <w:sz w:val="19"/>
          <w:szCs w:val="19"/>
        </w:rPr>
        <w:t>e</w:t>
      </w:r>
      <w:proofErr w:type="spellEnd"/>
      <w:r w:rsidR="000939A9">
        <w:rPr>
          <w:rFonts w:asciiTheme="minorHAnsi" w:hAnsiTheme="minorHAnsi" w:cstheme="minorHAnsi"/>
          <w:b/>
          <w:i/>
          <w:sz w:val="19"/>
          <w:szCs w:val="19"/>
        </w:rPr>
        <w:t>/</w:t>
      </w:r>
      <w:proofErr w:type="spellStart"/>
      <w:r w:rsidR="000939A9">
        <w:rPr>
          <w:rFonts w:asciiTheme="minorHAnsi" w:hAnsiTheme="minorHAnsi" w:cstheme="minorHAnsi"/>
          <w:b/>
          <w:i/>
          <w:sz w:val="19"/>
          <w:szCs w:val="19"/>
        </w:rPr>
        <w:t>srednje</w:t>
      </w:r>
      <w:proofErr w:type="spellEnd"/>
      <w:r w:rsidR="00DB5D24" w:rsidRPr="003130B7">
        <w:rPr>
          <w:rFonts w:asciiTheme="minorHAnsi" w:hAnsiTheme="minorHAnsi" w:cstheme="minorHAnsi"/>
          <w:b/>
          <w:i/>
          <w:sz w:val="19"/>
          <w:szCs w:val="19"/>
        </w:rPr>
        <w:t xml:space="preserve"> </w:t>
      </w:r>
      <w:proofErr w:type="spellStart"/>
      <w:r w:rsidR="00DB5D24" w:rsidRPr="003130B7">
        <w:rPr>
          <w:rFonts w:asciiTheme="minorHAnsi" w:hAnsiTheme="minorHAnsi" w:cstheme="minorHAnsi"/>
          <w:b/>
          <w:i/>
          <w:sz w:val="19"/>
          <w:szCs w:val="19"/>
        </w:rPr>
        <w:t>škole</w:t>
      </w:r>
      <w:proofErr w:type="spellEnd"/>
      <w:r w:rsidRPr="003130B7">
        <w:rPr>
          <w:rFonts w:asciiTheme="minorHAnsi" w:hAnsiTheme="minorHAnsi" w:cstheme="minorHAnsi"/>
          <w:b/>
          <w:i/>
          <w:sz w:val="19"/>
          <w:szCs w:val="19"/>
        </w:rPr>
        <w:t xml:space="preserve"> - </w:t>
      </w:r>
      <w:proofErr w:type="spellStart"/>
      <w:r w:rsidR="002C0609" w:rsidRPr="003130B7">
        <w:rPr>
          <w:rFonts w:asciiTheme="minorHAnsi" w:hAnsiTheme="minorHAnsi" w:cstheme="minorHAnsi"/>
          <w:sz w:val="19"/>
          <w:szCs w:val="19"/>
        </w:rPr>
        <w:t>o</w:t>
      </w:r>
      <w:r w:rsidRPr="003130B7">
        <w:rPr>
          <w:rFonts w:asciiTheme="minorHAnsi" w:hAnsiTheme="minorHAnsi" w:cstheme="minorHAnsi"/>
          <w:sz w:val="19"/>
          <w:szCs w:val="19"/>
        </w:rPr>
        <w:t>dnos</w:t>
      </w:r>
      <w:proofErr w:type="spellEnd"/>
      <w:r w:rsidRPr="003130B7">
        <w:rPr>
          <w:rFonts w:asciiTheme="minorHAnsi" w:hAnsiTheme="minorHAnsi" w:cstheme="minorHAnsi"/>
          <w:sz w:val="19"/>
          <w:szCs w:val="19"/>
        </w:rPr>
        <w:t xml:space="preserve"> </w:t>
      </w:r>
      <w:proofErr w:type="spellStart"/>
      <w:r w:rsidRPr="003130B7">
        <w:rPr>
          <w:rFonts w:asciiTheme="minorHAnsi" w:hAnsiTheme="minorHAnsi" w:cstheme="minorHAnsi"/>
          <w:sz w:val="19"/>
          <w:szCs w:val="19"/>
        </w:rPr>
        <w:t>ukupnog</w:t>
      </w:r>
      <w:proofErr w:type="spellEnd"/>
      <w:r w:rsidRPr="003130B7">
        <w:rPr>
          <w:rFonts w:asciiTheme="minorHAnsi" w:hAnsiTheme="minorHAnsi" w:cstheme="minorHAnsi"/>
          <w:sz w:val="19"/>
          <w:szCs w:val="19"/>
        </w:rPr>
        <w:t xml:space="preserve"> </w:t>
      </w:r>
      <w:proofErr w:type="spellStart"/>
      <w:r w:rsidRPr="003130B7">
        <w:rPr>
          <w:rFonts w:asciiTheme="minorHAnsi" w:hAnsiTheme="minorHAnsi" w:cstheme="minorHAnsi"/>
          <w:sz w:val="19"/>
          <w:szCs w:val="19"/>
        </w:rPr>
        <w:t>broja</w:t>
      </w:r>
      <w:proofErr w:type="spellEnd"/>
      <w:r w:rsidRPr="003130B7">
        <w:rPr>
          <w:rFonts w:asciiTheme="minorHAnsi" w:hAnsiTheme="minorHAnsi" w:cstheme="minorHAnsi"/>
          <w:sz w:val="19"/>
          <w:szCs w:val="19"/>
        </w:rPr>
        <w:t xml:space="preserve"> </w:t>
      </w:r>
      <w:proofErr w:type="spellStart"/>
      <w:r w:rsidRPr="003130B7">
        <w:rPr>
          <w:rFonts w:asciiTheme="minorHAnsi" w:hAnsiTheme="minorHAnsi" w:cstheme="minorHAnsi"/>
          <w:sz w:val="19"/>
          <w:szCs w:val="19"/>
        </w:rPr>
        <w:t>učenika</w:t>
      </w:r>
      <w:proofErr w:type="spellEnd"/>
      <w:r w:rsidRPr="003130B7">
        <w:rPr>
          <w:rFonts w:asciiTheme="minorHAnsi" w:hAnsiTheme="minorHAnsi" w:cstheme="minorHAnsi"/>
          <w:sz w:val="19"/>
          <w:szCs w:val="19"/>
        </w:rPr>
        <w:t xml:space="preserve"> koji </w:t>
      </w:r>
      <w:proofErr w:type="spellStart"/>
      <w:r w:rsidRPr="003130B7">
        <w:rPr>
          <w:rFonts w:asciiTheme="minorHAnsi" w:hAnsiTheme="minorHAnsi" w:cstheme="minorHAnsi"/>
          <w:sz w:val="19"/>
          <w:szCs w:val="19"/>
        </w:rPr>
        <w:t>uspešno</w:t>
      </w:r>
      <w:proofErr w:type="spellEnd"/>
      <w:r w:rsidRPr="003130B7">
        <w:rPr>
          <w:rFonts w:asciiTheme="minorHAnsi" w:hAnsiTheme="minorHAnsi" w:cstheme="minorHAnsi"/>
          <w:sz w:val="19"/>
          <w:szCs w:val="19"/>
        </w:rPr>
        <w:t xml:space="preserve"> </w:t>
      </w:r>
      <w:proofErr w:type="spellStart"/>
      <w:r w:rsidRPr="003130B7">
        <w:rPr>
          <w:rFonts w:asciiTheme="minorHAnsi" w:hAnsiTheme="minorHAnsi" w:cstheme="minorHAnsi"/>
          <w:sz w:val="19"/>
          <w:szCs w:val="19"/>
        </w:rPr>
        <w:t>završe</w:t>
      </w:r>
      <w:proofErr w:type="spellEnd"/>
      <w:r w:rsidRPr="003130B7">
        <w:rPr>
          <w:rFonts w:asciiTheme="minorHAnsi" w:hAnsiTheme="minorHAnsi" w:cstheme="minorHAnsi"/>
          <w:sz w:val="19"/>
          <w:szCs w:val="19"/>
        </w:rPr>
        <w:t xml:space="preserve"> (</w:t>
      </w:r>
      <w:proofErr w:type="spellStart"/>
      <w:r w:rsidRPr="003130B7">
        <w:rPr>
          <w:rFonts w:asciiTheme="minorHAnsi" w:hAnsiTheme="minorHAnsi" w:cstheme="minorHAnsi"/>
          <w:sz w:val="19"/>
          <w:szCs w:val="19"/>
        </w:rPr>
        <w:t>polože</w:t>
      </w:r>
      <w:proofErr w:type="spellEnd"/>
      <w:r w:rsidRPr="003130B7">
        <w:rPr>
          <w:rFonts w:asciiTheme="minorHAnsi" w:hAnsiTheme="minorHAnsi" w:cstheme="minorHAnsi"/>
          <w:sz w:val="19"/>
          <w:szCs w:val="19"/>
        </w:rPr>
        <w:t xml:space="preserve">) </w:t>
      </w:r>
      <w:proofErr w:type="spellStart"/>
      <w:r w:rsidRPr="003130B7">
        <w:rPr>
          <w:rFonts w:asciiTheme="minorHAnsi" w:hAnsiTheme="minorHAnsi" w:cstheme="minorHAnsi"/>
          <w:sz w:val="19"/>
          <w:szCs w:val="19"/>
        </w:rPr>
        <w:t>poslednji</w:t>
      </w:r>
      <w:proofErr w:type="spellEnd"/>
      <w:r w:rsidRPr="003130B7">
        <w:rPr>
          <w:rFonts w:asciiTheme="minorHAnsi" w:hAnsiTheme="minorHAnsi" w:cstheme="minorHAnsi"/>
          <w:sz w:val="19"/>
          <w:szCs w:val="19"/>
        </w:rPr>
        <w:t xml:space="preserve"> </w:t>
      </w:r>
      <w:proofErr w:type="spellStart"/>
      <w:r w:rsidRPr="003130B7">
        <w:rPr>
          <w:rFonts w:asciiTheme="minorHAnsi" w:hAnsiTheme="minorHAnsi" w:cstheme="minorHAnsi"/>
          <w:sz w:val="19"/>
          <w:szCs w:val="19"/>
        </w:rPr>
        <w:t>razred</w:t>
      </w:r>
      <w:proofErr w:type="spellEnd"/>
      <w:r w:rsidRPr="003130B7">
        <w:rPr>
          <w:rFonts w:asciiTheme="minorHAnsi" w:hAnsiTheme="minorHAnsi" w:cstheme="minorHAnsi"/>
          <w:sz w:val="19"/>
          <w:szCs w:val="19"/>
        </w:rPr>
        <w:t xml:space="preserve"> </w:t>
      </w:r>
      <w:proofErr w:type="spellStart"/>
      <w:r w:rsidRPr="003130B7">
        <w:rPr>
          <w:rFonts w:asciiTheme="minorHAnsi" w:hAnsiTheme="minorHAnsi" w:cstheme="minorHAnsi"/>
          <w:sz w:val="19"/>
          <w:szCs w:val="19"/>
        </w:rPr>
        <w:t>osnovne</w:t>
      </w:r>
      <w:proofErr w:type="spellEnd"/>
      <w:r w:rsidRPr="003130B7">
        <w:rPr>
          <w:rFonts w:asciiTheme="minorHAnsi" w:hAnsiTheme="minorHAnsi" w:cstheme="minorHAnsi"/>
          <w:sz w:val="19"/>
          <w:szCs w:val="19"/>
        </w:rPr>
        <w:t xml:space="preserve"> </w:t>
      </w:r>
      <w:proofErr w:type="spellStart"/>
      <w:r w:rsidRPr="003130B7">
        <w:rPr>
          <w:rFonts w:asciiTheme="minorHAnsi" w:hAnsiTheme="minorHAnsi" w:cstheme="minorHAnsi"/>
          <w:sz w:val="19"/>
          <w:szCs w:val="19"/>
        </w:rPr>
        <w:t>škole</w:t>
      </w:r>
      <w:proofErr w:type="spellEnd"/>
      <w:r w:rsidRPr="003130B7">
        <w:rPr>
          <w:rFonts w:asciiTheme="minorHAnsi" w:hAnsiTheme="minorHAnsi" w:cstheme="minorHAnsi"/>
          <w:sz w:val="19"/>
          <w:szCs w:val="19"/>
        </w:rPr>
        <w:t xml:space="preserve"> bez </w:t>
      </w:r>
      <w:proofErr w:type="spellStart"/>
      <w:r w:rsidRPr="003130B7">
        <w:rPr>
          <w:rFonts w:asciiTheme="minorHAnsi" w:hAnsiTheme="minorHAnsi" w:cstheme="minorHAnsi"/>
          <w:sz w:val="19"/>
          <w:szCs w:val="19"/>
        </w:rPr>
        <w:t>obzira</w:t>
      </w:r>
      <w:proofErr w:type="spellEnd"/>
      <w:r w:rsidRPr="003130B7">
        <w:rPr>
          <w:rFonts w:asciiTheme="minorHAnsi" w:hAnsiTheme="minorHAnsi" w:cstheme="minorHAnsi"/>
          <w:sz w:val="19"/>
          <w:szCs w:val="19"/>
        </w:rPr>
        <w:t xml:space="preserve"> </w:t>
      </w:r>
      <w:proofErr w:type="spellStart"/>
      <w:r w:rsidRPr="003130B7">
        <w:rPr>
          <w:rFonts w:asciiTheme="minorHAnsi" w:hAnsiTheme="minorHAnsi" w:cstheme="minorHAnsi"/>
          <w:sz w:val="19"/>
          <w:szCs w:val="19"/>
        </w:rPr>
        <w:t>na</w:t>
      </w:r>
      <w:proofErr w:type="spellEnd"/>
      <w:r w:rsidRPr="003130B7">
        <w:rPr>
          <w:rFonts w:asciiTheme="minorHAnsi" w:hAnsiTheme="minorHAnsi" w:cstheme="minorHAnsi"/>
          <w:sz w:val="19"/>
          <w:szCs w:val="19"/>
        </w:rPr>
        <w:t xml:space="preserve"> </w:t>
      </w:r>
      <w:proofErr w:type="spellStart"/>
      <w:r w:rsidRPr="003130B7">
        <w:rPr>
          <w:rFonts w:asciiTheme="minorHAnsi" w:hAnsiTheme="minorHAnsi" w:cstheme="minorHAnsi"/>
          <w:sz w:val="19"/>
          <w:szCs w:val="19"/>
        </w:rPr>
        <w:t>godište</w:t>
      </w:r>
      <w:proofErr w:type="spellEnd"/>
      <w:r w:rsidRPr="003130B7">
        <w:rPr>
          <w:rFonts w:asciiTheme="minorHAnsi" w:hAnsiTheme="minorHAnsi" w:cstheme="minorHAnsi"/>
          <w:sz w:val="19"/>
          <w:szCs w:val="19"/>
        </w:rPr>
        <w:t xml:space="preserve"> </w:t>
      </w:r>
      <w:proofErr w:type="spellStart"/>
      <w:r w:rsidRPr="003130B7">
        <w:rPr>
          <w:rFonts w:asciiTheme="minorHAnsi" w:hAnsiTheme="minorHAnsi" w:cstheme="minorHAnsi"/>
          <w:sz w:val="19"/>
          <w:szCs w:val="19"/>
        </w:rPr>
        <w:t>i</w:t>
      </w:r>
      <w:proofErr w:type="spellEnd"/>
      <w:r w:rsidRPr="003130B7">
        <w:rPr>
          <w:rFonts w:asciiTheme="minorHAnsi" w:hAnsiTheme="minorHAnsi" w:cstheme="minorHAnsi"/>
          <w:sz w:val="19"/>
          <w:szCs w:val="19"/>
        </w:rPr>
        <w:t xml:space="preserve"> </w:t>
      </w:r>
      <w:proofErr w:type="spellStart"/>
      <w:r w:rsidRPr="003130B7">
        <w:rPr>
          <w:rFonts w:asciiTheme="minorHAnsi" w:hAnsiTheme="minorHAnsi" w:cstheme="minorHAnsi"/>
          <w:sz w:val="19"/>
          <w:szCs w:val="19"/>
        </w:rPr>
        <w:t>ukupnog</w:t>
      </w:r>
      <w:proofErr w:type="spellEnd"/>
      <w:r w:rsidRPr="003130B7">
        <w:rPr>
          <w:rFonts w:asciiTheme="minorHAnsi" w:hAnsiTheme="minorHAnsi" w:cstheme="minorHAnsi"/>
          <w:sz w:val="19"/>
          <w:szCs w:val="19"/>
        </w:rPr>
        <w:t xml:space="preserve"> </w:t>
      </w:r>
      <w:proofErr w:type="spellStart"/>
      <w:r w:rsidRPr="003130B7">
        <w:rPr>
          <w:rFonts w:asciiTheme="minorHAnsi" w:hAnsiTheme="minorHAnsi" w:cstheme="minorHAnsi"/>
          <w:sz w:val="19"/>
          <w:szCs w:val="19"/>
        </w:rPr>
        <w:t>broja</w:t>
      </w:r>
      <w:proofErr w:type="spellEnd"/>
      <w:r w:rsidRPr="003130B7">
        <w:rPr>
          <w:rFonts w:asciiTheme="minorHAnsi" w:hAnsiTheme="minorHAnsi" w:cstheme="minorHAnsi"/>
          <w:sz w:val="19"/>
          <w:szCs w:val="19"/>
        </w:rPr>
        <w:t xml:space="preserve"> </w:t>
      </w:r>
      <w:proofErr w:type="spellStart"/>
      <w:r w:rsidRPr="003130B7">
        <w:rPr>
          <w:rFonts w:asciiTheme="minorHAnsi" w:hAnsiTheme="minorHAnsi" w:cstheme="minorHAnsi"/>
          <w:sz w:val="19"/>
          <w:szCs w:val="19"/>
        </w:rPr>
        <w:t>dece</w:t>
      </w:r>
      <w:proofErr w:type="spellEnd"/>
      <w:r w:rsidRPr="003130B7">
        <w:rPr>
          <w:rFonts w:asciiTheme="minorHAnsi" w:hAnsiTheme="minorHAnsi" w:cstheme="minorHAnsi"/>
          <w:sz w:val="19"/>
          <w:szCs w:val="19"/>
        </w:rPr>
        <w:t xml:space="preserve"> </w:t>
      </w:r>
      <w:proofErr w:type="spellStart"/>
      <w:r w:rsidRPr="003130B7">
        <w:rPr>
          <w:rFonts w:asciiTheme="minorHAnsi" w:hAnsiTheme="minorHAnsi" w:cstheme="minorHAnsi"/>
          <w:sz w:val="19"/>
          <w:szCs w:val="19"/>
        </w:rPr>
        <w:t>iz</w:t>
      </w:r>
      <w:proofErr w:type="spellEnd"/>
      <w:r w:rsidRPr="003130B7">
        <w:rPr>
          <w:rFonts w:asciiTheme="minorHAnsi" w:hAnsiTheme="minorHAnsi" w:cstheme="minorHAnsi"/>
          <w:sz w:val="19"/>
          <w:szCs w:val="19"/>
        </w:rPr>
        <w:t xml:space="preserve"> </w:t>
      </w:r>
      <w:proofErr w:type="spellStart"/>
      <w:r w:rsidRPr="003130B7">
        <w:rPr>
          <w:rFonts w:asciiTheme="minorHAnsi" w:hAnsiTheme="minorHAnsi" w:cstheme="minorHAnsi"/>
          <w:sz w:val="19"/>
          <w:szCs w:val="19"/>
        </w:rPr>
        <w:t>populacije</w:t>
      </w:r>
      <w:proofErr w:type="spellEnd"/>
      <w:r w:rsidRPr="003130B7">
        <w:rPr>
          <w:rFonts w:asciiTheme="minorHAnsi" w:hAnsiTheme="minorHAnsi" w:cstheme="minorHAnsi"/>
          <w:sz w:val="19"/>
          <w:szCs w:val="19"/>
        </w:rPr>
        <w:t xml:space="preserve"> </w:t>
      </w:r>
      <w:proofErr w:type="spellStart"/>
      <w:r w:rsidRPr="003130B7">
        <w:rPr>
          <w:rFonts w:asciiTheme="minorHAnsi" w:hAnsiTheme="minorHAnsi" w:cstheme="minorHAnsi"/>
          <w:sz w:val="19"/>
          <w:szCs w:val="19"/>
        </w:rPr>
        <w:t>uzrasta</w:t>
      </w:r>
      <w:proofErr w:type="spellEnd"/>
      <w:r w:rsidRPr="003130B7">
        <w:rPr>
          <w:rFonts w:asciiTheme="minorHAnsi" w:hAnsiTheme="minorHAnsi" w:cstheme="minorHAnsi"/>
          <w:sz w:val="19"/>
          <w:szCs w:val="19"/>
        </w:rPr>
        <w:t xml:space="preserve"> za </w:t>
      </w:r>
      <w:proofErr w:type="spellStart"/>
      <w:r w:rsidRPr="003130B7">
        <w:rPr>
          <w:rFonts w:asciiTheme="minorHAnsi" w:hAnsiTheme="minorHAnsi" w:cstheme="minorHAnsi"/>
          <w:sz w:val="19"/>
          <w:szCs w:val="19"/>
        </w:rPr>
        <w:t>zvanični</w:t>
      </w:r>
      <w:proofErr w:type="spellEnd"/>
      <w:r w:rsidRPr="003130B7">
        <w:rPr>
          <w:rFonts w:asciiTheme="minorHAnsi" w:hAnsiTheme="minorHAnsi" w:cstheme="minorHAnsi"/>
          <w:sz w:val="19"/>
          <w:szCs w:val="19"/>
        </w:rPr>
        <w:t xml:space="preserve"> </w:t>
      </w:r>
      <w:proofErr w:type="spellStart"/>
      <w:r w:rsidRPr="003130B7">
        <w:rPr>
          <w:rFonts w:asciiTheme="minorHAnsi" w:hAnsiTheme="minorHAnsi" w:cstheme="minorHAnsi"/>
          <w:sz w:val="19"/>
          <w:szCs w:val="19"/>
        </w:rPr>
        <w:t>završetak</w:t>
      </w:r>
      <w:proofErr w:type="spellEnd"/>
      <w:r w:rsidRPr="003130B7">
        <w:rPr>
          <w:rFonts w:asciiTheme="minorHAnsi" w:hAnsiTheme="minorHAnsi" w:cstheme="minorHAnsi"/>
          <w:sz w:val="19"/>
          <w:szCs w:val="19"/>
        </w:rPr>
        <w:t xml:space="preserve"> </w:t>
      </w:r>
      <w:proofErr w:type="spellStart"/>
      <w:r w:rsidRPr="003130B7">
        <w:rPr>
          <w:rFonts w:asciiTheme="minorHAnsi" w:hAnsiTheme="minorHAnsi" w:cstheme="minorHAnsi"/>
          <w:sz w:val="19"/>
          <w:szCs w:val="19"/>
        </w:rPr>
        <w:t>osnovne</w:t>
      </w:r>
      <w:proofErr w:type="spellEnd"/>
      <w:r w:rsidRPr="003130B7">
        <w:rPr>
          <w:rFonts w:asciiTheme="minorHAnsi" w:hAnsiTheme="minorHAnsi" w:cstheme="minorHAnsi"/>
          <w:sz w:val="19"/>
          <w:szCs w:val="19"/>
        </w:rPr>
        <w:t xml:space="preserve"> </w:t>
      </w:r>
      <w:proofErr w:type="spellStart"/>
      <w:r w:rsidRPr="003130B7">
        <w:rPr>
          <w:rFonts w:asciiTheme="minorHAnsi" w:hAnsiTheme="minorHAnsi" w:cstheme="minorHAnsi"/>
          <w:sz w:val="19"/>
          <w:szCs w:val="19"/>
        </w:rPr>
        <w:t>škole</w:t>
      </w:r>
      <w:proofErr w:type="spellEnd"/>
      <w:r w:rsidRPr="003130B7">
        <w:rPr>
          <w:rFonts w:asciiTheme="minorHAnsi" w:hAnsiTheme="minorHAnsi" w:cstheme="minorHAnsi"/>
          <w:sz w:val="19"/>
          <w:szCs w:val="19"/>
        </w:rPr>
        <w:t>.</w:t>
      </w:r>
    </w:p>
    <w:p w14:paraId="78716C37" w14:textId="2164721B" w:rsidR="002C0609" w:rsidRPr="003130B7" w:rsidRDefault="002C0609" w:rsidP="000D4C6F">
      <w:pPr>
        <w:pBdr>
          <w:top w:val="single" w:sz="4" w:space="1" w:color="auto"/>
          <w:left w:val="single" w:sz="4" w:space="4" w:color="auto"/>
          <w:bottom w:val="single" w:sz="4" w:space="1" w:color="auto"/>
          <w:right w:val="single" w:sz="4" w:space="4" w:color="auto"/>
        </w:pBdr>
        <w:spacing w:before="60" w:after="60"/>
        <w:jc w:val="both"/>
        <w:rPr>
          <w:rFonts w:asciiTheme="minorHAnsi" w:hAnsiTheme="minorHAnsi" w:cstheme="minorHAnsi"/>
          <w:sz w:val="19"/>
          <w:szCs w:val="19"/>
        </w:rPr>
      </w:pPr>
      <w:proofErr w:type="spellStart"/>
      <w:r w:rsidRPr="003130B7">
        <w:rPr>
          <w:rFonts w:asciiTheme="minorHAnsi" w:hAnsiTheme="minorHAnsi" w:cstheme="minorHAnsi"/>
          <w:b/>
          <w:i/>
          <w:sz w:val="19"/>
          <w:szCs w:val="19"/>
        </w:rPr>
        <w:t>Stopa</w:t>
      </w:r>
      <w:proofErr w:type="spellEnd"/>
      <w:r w:rsidRPr="003130B7">
        <w:rPr>
          <w:rFonts w:asciiTheme="minorHAnsi" w:hAnsiTheme="minorHAnsi" w:cstheme="minorHAnsi"/>
          <w:b/>
          <w:i/>
          <w:sz w:val="19"/>
          <w:szCs w:val="19"/>
        </w:rPr>
        <w:t xml:space="preserve"> </w:t>
      </w:r>
      <w:proofErr w:type="spellStart"/>
      <w:r w:rsidRPr="003130B7">
        <w:rPr>
          <w:rFonts w:asciiTheme="minorHAnsi" w:hAnsiTheme="minorHAnsi" w:cstheme="minorHAnsi"/>
          <w:b/>
          <w:i/>
          <w:sz w:val="19"/>
          <w:szCs w:val="19"/>
        </w:rPr>
        <w:t>odustajanja</w:t>
      </w:r>
      <w:proofErr w:type="spellEnd"/>
      <w:r w:rsidRPr="003130B7">
        <w:rPr>
          <w:rFonts w:asciiTheme="minorHAnsi" w:hAnsiTheme="minorHAnsi" w:cstheme="minorHAnsi"/>
          <w:b/>
          <w:i/>
          <w:sz w:val="19"/>
          <w:szCs w:val="19"/>
        </w:rPr>
        <w:t xml:space="preserve"> </w:t>
      </w:r>
      <w:proofErr w:type="spellStart"/>
      <w:r w:rsidRPr="003130B7">
        <w:rPr>
          <w:rFonts w:asciiTheme="minorHAnsi" w:hAnsiTheme="minorHAnsi" w:cstheme="minorHAnsi"/>
          <w:b/>
          <w:i/>
          <w:sz w:val="19"/>
          <w:szCs w:val="19"/>
        </w:rPr>
        <w:t>od</w:t>
      </w:r>
      <w:proofErr w:type="spellEnd"/>
      <w:r w:rsidRPr="003130B7">
        <w:rPr>
          <w:rFonts w:asciiTheme="minorHAnsi" w:hAnsiTheme="minorHAnsi" w:cstheme="minorHAnsi"/>
          <w:b/>
          <w:i/>
          <w:sz w:val="19"/>
          <w:szCs w:val="19"/>
        </w:rPr>
        <w:t xml:space="preserve"> </w:t>
      </w:r>
      <w:proofErr w:type="spellStart"/>
      <w:r w:rsidRPr="003130B7">
        <w:rPr>
          <w:rFonts w:asciiTheme="minorHAnsi" w:hAnsiTheme="minorHAnsi" w:cstheme="minorHAnsi"/>
          <w:b/>
          <w:i/>
          <w:sz w:val="19"/>
          <w:szCs w:val="19"/>
        </w:rPr>
        <w:t>školovanja</w:t>
      </w:r>
      <w:proofErr w:type="spellEnd"/>
      <w:r w:rsidRPr="003130B7">
        <w:rPr>
          <w:rFonts w:asciiTheme="minorHAnsi" w:hAnsiTheme="minorHAnsi" w:cstheme="minorHAnsi"/>
          <w:b/>
          <w:i/>
          <w:sz w:val="19"/>
          <w:szCs w:val="19"/>
        </w:rPr>
        <w:t xml:space="preserve"> u </w:t>
      </w:r>
      <w:proofErr w:type="spellStart"/>
      <w:r w:rsidRPr="003130B7">
        <w:rPr>
          <w:rFonts w:asciiTheme="minorHAnsi" w:hAnsiTheme="minorHAnsi" w:cstheme="minorHAnsi"/>
          <w:b/>
          <w:i/>
          <w:sz w:val="19"/>
          <w:szCs w:val="19"/>
        </w:rPr>
        <w:t>osnovnom</w:t>
      </w:r>
      <w:proofErr w:type="spellEnd"/>
      <w:r w:rsidR="003130B7">
        <w:rPr>
          <w:rFonts w:asciiTheme="minorHAnsi" w:hAnsiTheme="minorHAnsi" w:cstheme="minorHAnsi"/>
          <w:b/>
          <w:i/>
          <w:sz w:val="19"/>
          <w:szCs w:val="19"/>
        </w:rPr>
        <w:t>/</w:t>
      </w:r>
      <w:proofErr w:type="spellStart"/>
      <w:r w:rsidR="003130B7">
        <w:rPr>
          <w:rFonts w:asciiTheme="minorHAnsi" w:hAnsiTheme="minorHAnsi" w:cstheme="minorHAnsi"/>
          <w:b/>
          <w:i/>
          <w:sz w:val="19"/>
          <w:szCs w:val="19"/>
        </w:rPr>
        <w:t>srednjem</w:t>
      </w:r>
      <w:proofErr w:type="spellEnd"/>
      <w:r w:rsidRPr="003130B7">
        <w:rPr>
          <w:rFonts w:asciiTheme="minorHAnsi" w:hAnsiTheme="minorHAnsi" w:cstheme="minorHAnsi"/>
          <w:b/>
          <w:i/>
          <w:sz w:val="19"/>
          <w:szCs w:val="19"/>
        </w:rPr>
        <w:t xml:space="preserve"> </w:t>
      </w:r>
      <w:proofErr w:type="spellStart"/>
      <w:r w:rsidRPr="003130B7">
        <w:rPr>
          <w:rFonts w:asciiTheme="minorHAnsi" w:hAnsiTheme="minorHAnsi" w:cstheme="minorHAnsi"/>
          <w:b/>
          <w:i/>
          <w:sz w:val="19"/>
          <w:szCs w:val="19"/>
        </w:rPr>
        <w:t>obrazovanju</w:t>
      </w:r>
      <w:proofErr w:type="spellEnd"/>
      <w:r w:rsidRPr="003130B7">
        <w:rPr>
          <w:rFonts w:asciiTheme="minorHAnsi" w:hAnsiTheme="minorHAnsi" w:cstheme="minorHAnsi"/>
          <w:b/>
          <w:i/>
          <w:sz w:val="19"/>
          <w:szCs w:val="19"/>
        </w:rPr>
        <w:t xml:space="preserve"> </w:t>
      </w:r>
      <w:proofErr w:type="spellStart"/>
      <w:r w:rsidRPr="003130B7">
        <w:rPr>
          <w:rFonts w:asciiTheme="minorHAnsi" w:hAnsiTheme="minorHAnsi" w:cstheme="minorHAnsi"/>
          <w:sz w:val="19"/>
          <w:szCs w:val="19"/>
        </w:rPr>
        <w:t>predstavlja</w:t>
      </w:r>
      <w:proofErr w:type="spellEnd"/>
      <w:r w:rsidRPr="003130B7">
        <w:rPr>
          <w:rFonts w:asciiTheme="minorHAnsi" w:hAnsiTheme="minorHAnsi" w:cstheme="minorHAnsi"/>
          <w:sz w:val="19"/>
          <w:szCs w:val="19"/>
        </w:rPr>
        <w:t xml:space="preserve"> </w:t>
      </w:r>
      <w:proofErr w:type="spellStart"/>
      <w:r w:rsidRPr="003130B7">
        <w:rPr>
          <w:rFonts w:asciiTheme="minorHAnsi" w:hAnsiTheme="minorHAnsi" w:cstheme="minorHAnsi"/>
          <w:sz w:val="19"/>
          <w:szCs w:val="19"/>
        </w:rPr>
        <w:t>razliku</w:t>
      </w:r>
      <w:proofErr w:type="spellEnd"/>
      <w:r w:rsidRPr="003130B7">
        <w:rPr>
          <w:rFonts w:asciiTheme="minorHAnsi" w:hAnsiTheme="minorHAnsi" w:cstheme="minorHAnsi"/>
          <w:sz w:val="19"/>
          <w:szCs w:val="19"/>
        </w:rPr>
        <w:t xml:space="preserve"> u </w:t>
      </w:r>
      <w:proofErr w:type="spellStart"/>
      <w:r w:rsidRPr="003130B7">
        <w:rPr>
          <w:rFonts w:asciiTheme="minorHAnsi" w:hAnsiTheme="minorHAnsi" w:cstheme="minorHAnsi"/>
          <w:sz w:val="19"/>
          <w:szCs w:val="19"/>
        </w:rPr>
        <w:t>broju</w:t>
      </w:r>
      <w:proofErr w:type="spellEnd"/>
      <w:r w:rsidRPr="003130B7">
        <w:rPr>
          <w:rFonts w:asciiTheme="minorHAnsi" w:hAnsiTheme="minorHAnsi" w:cstheme="minorHAnsi"/>
          <w:sz w:val="19"/>
          <w:szCs w:val="19"/>
        </w:rPr>
        <w:t xml:space="preserve"> </w:t>
      </w:r>
      <w:proofErr w:type="spellStart"/>
      <w:r w:rsidRPr="003130B7">
        <w:rPr>
          <w:rFonts w:asciiTheme="minorHAnsi" w:hAnsiTheme="minorHAnsi" w:cstheme="minorHAnsi"/>
          <w:sz w:val="19"/>
          <w:szCs w:val="19"/>
        </w:rPr>
        <w:t>učenika</w:t>
      </w:r>
      <w:proofErr w:type="spellEnd"/>
      <w:r w:rsidRPr="003130B7">
        <w:rPr>
          <w:rFonts w:asciiTheme="minorHAnsi" w:hAnsiTheme="minorHAnsi" w:cstheme="minorHAnsi"/>
          <w:sz w:val="19"/>
          <w:szCs w:val="19"/>
        </w:rPr>
        <w:t xml:space="preserve"> </w:t>
      </w:r>
      <w:proofErr w:type="spellStart"/>
      <w:r w:rsidRPr="003130B7">
        <w:rPr>
          <w:rFonts w:asciiTheme="minorHAnsi" w:hAnsiTheme="minorHAnsi" w:cstheme="minorHAnsi"/>
          <w:sz w:val="19"/>
          <w:szCs w:val="19"/>
        </w:rPr>
        <w:t>osnovnih</w:t>
      </w:r>
      <w:proofErr w:type="spellEnd"/>
      <w:r w:rsidR="003130B7">
        <w:rPr>
          <w:rFonts w:asciiTheme="minorHAnsi" w:hAnsiTheme="minorHAnsi" w:cstheme="minorHAnsi"/>
          <w:sz w:val="19"/>
          <w:szCs w:val="19"/>
        </w:rPr>
        <w:t>/</w:t>
      </w:r>
      <w:proofErr w:type="spellStart"/>
      <w:r w:rsidR="003130B7">
        <w:rPr>
          <w:rFonts w:asciiTheme="minorHAnsi" w:hAnsiTheme="minorHAnsi" w:cstheme="minorHAnsi"/>
          <w:sz w:val="19"/>
          <w:szCs w:val="19"/>
        </w:rPr>
        <w:t>srednjih</w:t>
      </w:r>
      <w:proofErr w:type="spellEnd"/>
      <w:r w:rsidRPr="003130B7">
        <w:rPr>
          <w:rFonts w:asciiTheme="minorHAnsi" w:hAnsiTheme="minorHAnsi" w:cstheme="minorHAnsi"/>
          <w:sz w:val="19"/>
          <w:szCs w:val="19"/>
        </w:rPr>
        <w:t xml:space="preserve"> </w:t>
      </w:r>
      <w:proofErr w:type="spellStart"/>
      <w:r w:rsidRPr="003130B7">
        <w:rPr>
          <w:rFonts w:asciiTheme="minorHAnsi" w:hAnsiTheme="minorHAnsi" w:cstheme="minorHAnsi"/>
          <w:sz w:val="19"/>
          <w:szCs w:val="19"/>
        </w:rPr>
        <w:t>škola</w:t>
      </w:r>
      <w:proofErr w:type="spellEnd"/>
      <w:r w:rsidRPr="003130B7">
        <w:rPr>
          <w:rFonts w:asciiTheme="minorHAnsi" w:hAnsiTheme="minorHAnsi" w:cstheme="minorHAnsi"/>
          <w:sz w:val="19"/>
          <w:szCs w:val="19"/>
        </w:rPr>
        <w:t xml:space="preserve"> </w:t>
      </w:r>
      <w:proofErr w:type="spellStart"/>
      <w:r w:rsidRPr="003130B7">
        <w:rPr>
          <w:rFonts w:asciiTheme="minorHAnsi" w:hAnsiTheme="minorHAnsi" w:cstheme="minorHAnsi"/>
          <w:sz w:val="19"/>
          <w:szCs w:val="19"/>
        </w:rPr>
        <w:t>na</w:t>
      </w:r>
      <w:proofErr w:type="spellEnd"/>
      <w:r w:rsidRPr="003130B7">
        <w:rPr>
          <w:rFonts w:asciiTheme="minorHAnsi" w:hAnsiTheme="minorHAnsi" w:cstheme="minorHAnsi"/>
          <w:sz w:val="19"/>
          <w:szCs w:val="19"/>
        </w:rPr>
        <w:t xml:space="preserve"> </w:t>
      </w:r>
      <w:proofErr w:type="spellStart"/>
      <w:r w:rsidRPr="003130B7">
        <w:rPr>
          <w:rFonts w:asciiTheme="minorHAnsi" w:hAnsiTheme="minorHAnsi" w:cstheme="minorHAnsi"/>
          <w:sz w:val="19"/>
          <w:szCs w:val="19"/>
        </w:rPr>
        <w:t>početku</w:t>
      </w:r>
      <w:proofErr w:type="spellEnd"/>
      <w:r w:rsidRPr="003130B7">
        <w:rPr>
          <w:rFonts w:asciiTheme="minorHAnsi" w:hAnsiTheme="minorHAnsi" w:cstheme="minorHAnsi"/>
          <w:sz w:val="19"/>
          <w:szCs w:val="19"/>
        </w:rPr>
        <w:t xml:space="preserve"> </w:t>
      </w:r>
      <w:proofErr w:type="spellStart"/>
      <w:r w:rsidRPr="003130B7">
        <w:rPr>
          <w:rFonts w:asciiTheme="minorHAnsi" w:hAnsiTheme="minorHAnsi" w:cstheme="minorHAnsi"/>
          <w:sz w:val="19"/>
          <w:szCs w:val="19"/>
        </w:rPr>
        <w:t>školske</w:t>
      </w:r>
      <w:proofErr w:type="spellEnd"/>
      <w:r w:rsidRPr="003130B7">
        <w:rPr>
          <w:rFonts w:asciiTheme="minorHAnsi" w:hAnsiTheme="minorHAnsi" w:cstheme="minorHAnsi"/>
          <w:sz w:val="19"/>
          <w:szCs w:val="19"/>
        </w:rPr>
        <w:t xml:space="preserve"> </w:t>
      </w:r>
      <w:proofErr w:type="spellStart"/>
      <w:r w:rsidRPr="003130B7">
        <w:rPr>
          <w:rFonts w:asciiTheme="minorHAnsi" w:hAnsiTheme="minorHAnsi" w:cstheme="minorHAnsi"/>
          <w:sz w:val="19"/>
          <w:szCs w:val="19"/>
        </w:rPr>
        <w:t>godine</w:t>
      </w:r>
      <w:proofErr w:type="spellEnd"/>
      <w:r w:rsidRPr="003130B7">
        <w:rPr>
          <w:rFonts w:asciiTheme="minorHAnsi" w:hAnsiTheme="minorHAnsi" w:cstheme="minorHAnsi"/>
          <w:sz w:val="19"/>
          <w:szCs w:val="19"/>
        </w:rPr>
        <w:t xml:space="preserve"> </w:t>
      </w:r>
      <w:proofErr w:type="spellStart"/>
      <w:r w:rsidRPr="003130B7">
        <w:rPr>
          <w:rFonts w:asciiTheme="minorHAnsi" w:hAnsiTheme="minorHAnsi" w:cstheme="minorHAnsi"/>
          <w:sz w:val="19"/>
          <w:szCs w:val="19"/>
        </w:rPr>
        <w:t>i</w:t>
      </w:r>
      <w:proofErr w:type="spellEnd"/>
      <w:r w:rsidRPr="003130B7">
        <w:rPr>
          <w:rFonts w:asciiTheme="minorHAnsi" w:hAnsiTheme="minorHAnsi" w:cstheme="minorHAnsi"/>
          <w:sz w:val="19"/>
          <w:szCs w:val="19"/>
        </w:rPr>
        <w:t xml:space="preserve"> </w:t>
      </w:r>
      <w:proofErr w:type="spellStart"/>
      <w:r w:rsidRPr="003130B7">
        <w:rPr>
          <w:rFonts w:asciiTheme="minorHAnsi" w:hAnsiTheme="minorHAnsi" w:cstheme="minorHAnsi"/>
          <w:sz w:val="19"/>
          <w:szCs w:val="19"/>
        </w:rPr>
        <w:t>broja</w:t>
      </w:r>
      <w:proofErr w:type="spellEnd"/>
      <w:r w:rsidRPr="003130B7">
        <w:rPr>
          <w:rFonts w:asciiTheme="minorHAnsi" w:hAnsiTheme="minorHAnsi" w:cstheme="minorHAnsi"/>
          <w:sz w:val="19"/>
          <w:szCs w:val="19"/>
        </w:rPr>
        <w:t xml:space="preserve"> </w:t>
      </w:r>
      <w:proofErr w:type="spellStart"/>
      <w:r w:rsidRPr="003130B7">
        <w:rPr>
          <w:rFonts w:asciiTheme="minorHAnsi" w:hAnsiTheme="minorHAnsi" w:cstheme="minorHAnsi"/>
          <w:sz w:val="19"/>
          <w:szCs w:val="19"/>
        </w:rPr>
        <w:t>učenika</w:t>
      </w:r>
      <w:proofErr w:type="spellEnd"/>
      <w:r w:rsidRPr="003130B7">
        <w:rPr>
          <w:rFonts w:asciiTheme="minorHAnsi" w:hAnsiTheme="minorHAnsi" w:cstheme="minorHAnsi"/>
          <w:sz w:val="19"/>
          <w:szCs w:val="19"/>
        </w:rPr>
        <w:t xml:space="preserve"> </w:t>
      </w:r>
      <w:proofErr w:type="spellStart"/>
      <w:r w:rsidRPr="003130B7">
        <w:rPr>
          <w:rFonts w:asciiTheme="minorHAnsi" w:hAnsiTheme="minorHAnsi" w:cstheme="minorHAnsi"/>
          <w:sz w:val="19"/>
          <w:szCs w:val="19"/>
        </w:rPr>
        <w:t>na</w:t>
      </w:r>
      <w:proofErr w:type="spellEnd"/>
      <w:r w:rsidRPr="003130B7">
        <w:rPr>
          <w:rFonts w:asciiTheme="minorHAnsi" w:hAnsiTheme="minorHAnsi" w:cstheme="minorHAnsi"/>
          <w:sz w:val="19"/>
          <w:szCs w:val="19"/>
        </w:rPr>
        <w:t xml:space="preserve"> </w:t>
      </w:r>
      <w:proofErr w:type="spellStart"/>
      <w:r w:rsidRPr="003130B7">
        <w:rPr>
          <w:rFonts w:asciiTheme="minorHAnsi" w:hAnsiTheme="minorHAnsi" w:cstheme="minorHAnsi"/>
          <w:sz w:val="19"/>
          <w:szCs w:val="19"/>
        </w:rPr>
        <w:t>kraju</w:t>
      </w:r>
      <w:proofErr w:type="spellEnd"/>
      <w:r w:rsidRPr="003130B7">
        <w:rPr>
          <w:rFonts w:asciiTheme="minorHAnsi" w:hAnsiTheme="minorHAnsi" w:cstheme="minorHAnsi"/>
          <w:sz w:val="19"/>
          <w:szCs w:val="19"/>
        </w:rPr>
        <w:t xml:space="preserve"> </w:t>
      </w:r>
      <w:proofErr w:type="spellStart"/>
      <w:r w:rsidRPr="003130B7">
        <w:rPr>
          <w:rFonts w:asciiTheme="minorHAnsi" w:hAnsiTheme="minorHAnsi" w:cstheme="minorHAnsi"/>
          <w:sz w:val="19"/>
          <w:szCs w:val="19"/>
        </w:rPr>
        <w:t>školske</w:t>
      </w:r>
      <w:proofErr w:type="spellEnd"/>
      <w:r w:rsidRPr="003130B7">
        <w:rPr>
          <w:rFonts w:asciiTheme="minorHAnsi" w:hAnsiTheme="minorHAnsi" w:cstheme="minorHAnsi"/>
          <w:sz w:val="19"/>
          <w:szCs w:val="19"/>
        </w:rPr>
        <w:t xml:space="preserve"> </w:t>
      </w:r>
      <w:proofErr w:type="spellStart"/>
      <w:r w:rsidRPr="003130B7">
        <w:rPr>
          <w:rFonts w:asciiTheme="minorHAnsi" w:hAnsiTheme="minorHAnsi" w:cstheme="minorHAnsi"/>
          <w:sz w:val="19"/>
          <w:szCs w:val="19"/>
        </w:rPr>
        <w:t>godine</w:t>
      </w:r>
      <w:proofErr w:type="spellEnd"/>
      <w:r w:rsidRPr="003130B7">
        <w:rPr>
          <w:rFonts w:asciiTheme="minorHAnsi" w:hAnsiTheme="minorHAnsi" w:cstheme="minorHAnsi"/>
          <w:sz w:val="19"/>
          <w:szCs w:val="19"/>
        </w:rPr>
        <w:t xml:space="preserve"> u </w:t>
      </w:r>
      <w:proofErr w:type="spellStart"/>
      <w:r w:rsidRPr="003130B7">
        <w:rPr>
          <w:rFonts w:asciiTheme="minorHAnsi" w:hAnsiTheme="minorHAnsi" w:cstheme="minorHAnsi"/>
          <w:sz w:val="19"/>
          <w:szCs w:val="19"/>
        </w:rPr>
        <w:t>odnosu</w:t>
      </w:r>
      <w:proofErr w:type="spellEnd"/>
      <w:r w:rsidRPr="003130B7">
        <w:rPr>
          <w:rFonts w:asciiTheme="minorHAnsi" w:hAnsiTheme="minorHAnsi" w:cstheme="minorHAnsi"/>
          <w:sz w:val="19"/>
          <w:szCs w:val="19"/>
        </w:rPr>
        <w:t xml:space="preserve"> </w:t>
      </w:r>
      <w:proofErr w:type="spellStart"/>
      <w:r w:rsidRPr="003130B7">
        <w:rPr>
          <w:rFonts w:asciiTheme="minorHAnsi" w:hAnsiTheme="minorHAnsi" w:cstheme="minorHAnsi"/>
          <w:sz w:val="19"/>
          <w:szCs w:val="19"/>
        </w:rPr>
        <w:t>na</w:t>
      </w:r>
      <w:proofErr w:type="spellEnd"/>
      <w:r w:rsidRPr="003130B7">
        <w:rPr>
          <w:rFonts w:asciiTheme="minorHAnsi" w:hAnsiTheme="minorHAnsi" w:cstheme="minorHAnsi"/>
          <w:sz w:val="19"/>
          <w:szCs w:val="19"/>
        </w:rPr>
        <w:t xml:space="preserve"> </w:t>
      </w:r>
      <w:proofErr w:type="spellStart"/>
      <w:r w:rsidRPr="003130B7">
        <w:rPr>
          <w:rFonts w:asciiTheme="minorHAnsi" w:hAnsiTheme="minorHAnsi" w:cstheme="minorHAnsi"/>
          <w:sz w:val="19"/>
          <w:szCs w:val="19"/>
        </w:rPr>
        <w:t>broj</w:t>
      </w:r>
      <w:proofErr w:type="spellEnd"/>
      <w:r w:rsidRPr="003130B7">
        <w:rPr>
          <w:rFonts w:asciiTheme="minorHAnsi" w:hAnsiTheme="minorHAnsi" w:cstheme="minorHAnsi"/>
          <w:sz w:val="19"/>
          <w:szCs w:val="19"/>
        </w:rPr>
        <w:t xml:space="preserve"> </w:t>
      </w:r>
      <w:proofErr w:type="spellStart"/>
      <w:r w:rsidRPr="003130B7">
        <w:rPr>
          <w:rFonts w:asciiTheme="minorHAnsi" w:hAnsiTheme="minorHAnsi" w:cstheme="minorHAnsi"/>
          <w:sz w:val="19"/>
          <w:szCs w:val="19"/>
        </w:rPr>
        <w:t>učenika</w:t>
      </w:r>
      <w:proofErr w:type="spellEnd"/>
      <w:r w:rsidRPr="003130B7">
        <w:rPr>
          <w:rFonts w:asciiTheme="minorHAnsi" w:hAnsiTheme="minorHAnsi" w:cstheme="minorHAnsi"/>
          <w:sz w:val="19"/>
          <w:szCs w:val="19"/>
        </w:rPr>
        <w:t xml:space="preserve"> </w:t>
      </w:r>
      <w:proofErr w:type="spellStart"/>
      <w:r w:rsidRPr="003130B7">
        <w:rPr>
          <w:rFonts w:asciiTheme="minorHAnsi" w:hAnsiTheme="minorHAnsi" w:cstheme="minorHAnsi"/>
          <w:sz w:val="19"/>
          <w:szCs w:val="19"/>
        </w:rPr>
        <w:t>na</w:t>
      </w:r>
      <w:proofErr w:type="spellEnd"/>
      <w:r w:rsidRPr="003130B7">
        <w:rPr>
          <w:rFonts w:asciiTheme="minorHAnsi" w:hAnsiTheme="minorHAnsi" w:cstheme="minorHAnsi"/>
          <w:sz w:val="19"/>
          <w:szCs w:val="19"/>
        </w:rPr>
        <w:t xml:space="preserve"> </w:t>
      </w:r>
      <w:proofErr w:type="spellStart"/>
      <w:r w:rsidRPr="003130B7">
        <w:rPr>
          <w:rFonts w:asciiTheme="minorHAnsi" w:hAnsiTheme="minorHAnsi" w:cstheme="minorHAnsi"/>
          <w:sz w:val="19"/>
          <w:szCs w:val="19"/>
        </w:rPr>
        <w:t>početku</w:t>
      </w:r>
      <w:proofErr w:type="spellEnd"/>
      <w:r w:rsidRPr="003130B7">
        <w:rPr>
          <w:rFonts w:asciiTheme="minorHAnsi" w:hAnsiTheme="minorHAnsi" w:cstheme="minorHAnsi"/>
          <w:sz w:val="19"/>
          <w:szCs w:val="19"/>
        </w:rPr>
        <w:t xml:space="preserve"> </w:t>
      </w:r>
      <w:proofErr w:type="spellStart"/>
      <w:r w:rsidRPr="003130B7">
        <w:rPr>
          <w:rFonts w:asciiTheme="minorHAnsi" w:hAnsiTheme="minorHAnsi" w:cstheme="minorHAnsi"/>
          <w:sz w:val="19"/>
          <w:szCs w:val="19"/>
        </w:rPr>
        <w:t>školske</w:t>
      </w:r>
      <w:proofErr w:type="spellEnd"/>
      <w:r w:rsidRPr="003130B7">
        <w:rPr>
          <w:rFonts w:asciiTheme="minorHAnsi" w:hAnsiTheme="minorHAnsi" w:cstheme="minorHAnsi"/>
          <w:sz w:val="19"/>
          <w:szCs w:val="19"/>
        </w:rPr>
        <w:t xml:space="preserve"> </w:t>
      </w:r>
      <w:proofErr w:type="spellStart"/>
      <w:r w:rsidRPr="003130B7">
        <w:rPr>
          <w:rFonts w:asciiTheme="minorHAnsi" w:hAnsiTheme="minorHAnsi" w:cstheme="minorHAnsi"/>
          <w:sz w:val="19"/>
          <w:szCs w:val="19"/>
        </w:rPr>
        <w:t>godine</w:t>
      </w:r>
      <w:proofErr w:type="spellEnd"/>
      <w:r w:rsidRPr="003130B7">
        <w:rPr>
          <w:rFonts w:asciiTheme="minorHAnsi" w:hAnsiTheme="minorHAnsi" w:cstheme="minorHAnsi"/>
          <w:sz w:val="19"/>
          <w:szCs w:val="19"/>
        </w:rPr>
        <w:t>.</w:t>
      </w:r>
    </w:p>
    <w:p w14:paraId="586E6C6E" w14:textId="77777777" w:rsidR="0034299C" w:rsidRPr="003130B7" w:rsidRDefault="0034299C" w:rsidP="00DB5D24">
      <w:pPr>
        <w:jc w:val="both"/>
        <w:rPr>
          <w:rFonts w:asciiTheme="minorHAnsi" w:hAnsiTheme="minorHAnsi"/>
          <w:sz w:val="19"/>
          <w:szCs w:val="19"/>
        </w:rPr>
      </w:pPr>
    </w:p>
    <w:p w14:paraId="38699C63" w14:textId="1FEF8040" w:rsidR="0032035D" w:rsidRPr="00F31D38" w:rsidRDefault="00367120" w:rsidP="00F31D38">
      <w:pPr>
        <w:jc w:val="both"/>
        <w:rPr>
          <w:rFonts w:asciiTheme="minorHAnsi" w:hAnsiTheme="minorHAnsi"/>
          <w:sz w:val="22"/>
          <w:szCs w:val="22"/>
        </w:rPr>
      </w:pPr>
      <w:proofErr w:type="spellStart"/>
      <w:r w:rsidRPr="0092414E">
        <w:rPr>
          <w:rFonts w:asciiTheme="minorHAnsi" w:hAnsiTheme="minorHAnsi"/>
          <w:b/>
          <w:i/>
          <w:sz w:val="22"/>
          <w:szCs w:val="22"/>
        </w:rPr>
        <w:t>Stopa</w:t>
      </w:r>
      <w:proofErr w:type="spellEnd"/>
      <w:r w:rsidRPr="0092414E">
        <w:rPr>
          <w:rFonts w:asciiTheme="minorHAnsi" w:hAnsiTheme="minorHAnsi"/>
          <w:b/>
          <w:i/>
          <w:sz w:val="22"/>
          <w:szCs w:val="22"/>
        </w:rPr>
        <w:t xml:space="preserve"> </w:t>
      </w:r>
      <w:proofErr w:type="spellStart"/>
      <w:r w:rsidRPr="0092414E">
        <w:rPr>
          <w:rFonts w:asciiTheme="minorHAnsi" w:hAnsiTheme="minorHAnsi"/>
          <w:b/>
          <w:i/>
          <w:sz w:val="22"/>
          <w:szCs w:val="22"/>
        </w:rPr>
        <w:t>odustajanja</w:t>
      </w:r>
      <w:proofErr w:type="spellEnd"/>
      <w:r w:rsidRPr="0092414E">
        <w:rPr>
          <w:rFonts w:asciiTheme="minorHAnsi" w:hAnsiTheme="minorHAnsi"/>
          <w:b/>
          <w:i/>
          <w:sz w:val="22"/>
          <w:szCs w:val="22"/>
        </w:rPr>
        <w:t xml:space="preserve"> </w:t>
      </w:r>
      <w:proofErr w:type="spellStart"/>
      <w:r w:rsidRPr="0092414E">
        <w:rPr>
          <w:rFonts w:asciiTheme="minorHAnsi" w:hAnsiTheme="minorHAnsi"/>
          <w:b/>
          <w:i/>
          <w:sz w:val="22"/>
          <w:szCs w:val="22"/>
        </w:rPr>
        <w:t>od</w:t>
      </w:r>
      <w:proofErr w:type="spellEnd"/>
      <w:r w:rsidRPr="0092414E">
        <w:rPr>
          <w:rFonts w:asciiTheme="minorHAnsi" w:hAnsiTheme="minorHAnsi"/>
          <w:b/>
          <w:i/>
          <w:sz w:val="22"/>
          <w:szCs w:val="22"/>
        </w:rPr>
        <w:t xml:space="preserve"> </w:t>
      </w:r>
      <w:proofErr w:type="spellStart"/>
      <w:r w:rsidRPr="0092414E">
        <w:rPr>
          <w:rFonts w:asciiTheme="minorHAnsi" w:hAnsiTheme="minorHAnsi"/>
          <w:b/>
          <w:i/>
          <w:sz w:val="22"/>
          <w:szCs w:val="22"/>
        </w:rPr>
        <w:t>školovanja</w:t>
      </w:r>
      <w:proofErr w:type="spellEnd"/>
      <w:r w:rsidRPr="0092414E">
        <w:rPr>
          <w:rFonts w:asciiTheme="minorHAnsi" w:hAnsiTheme="minorHAnsi"/>
          <w:b/>
          <w:i/>
          <w:sz w:val="22"/>
          <w:szCs w:val="22"/>
        </w:rPr>
        <w:t xml:space="preserve"> u </w:t>
      </w:r>
      <w:proofErr w:type="spellStart"/>
      <w:r w:rsidRPr="0092414E">
        <w:rPr>
          <w:rFonts w:asciiTheme="minorHAnsi" w:hAnsiTheme="minorHAnsi"/>
          <w:b/>
          <w:i/>
          <w:sz w:val="22"/>
          <w:szCs w:val="22"/>
        </w:rPr>
        <w:t>osnovnom</w:t>
      </w:r>
      <w:proofErr w:type="spellEnd"/>
      <w:r w:rsidRPr="0092414E">
        <w:rPr>
          <w:rFonts w:asciiTheme="minorHAnsi" w:hAnsiTheme="minorHAnsi"/>
          <w:b/>
          <w:i/>
          <w:sz w:val="22"/>
          <w:szCs w:val="22"/>
        </w:rPr>
        <w:t xml:space="preserve"> </w:t>
      </w:r>
      <w:proofErr w:type="spellStart"/>
      <w:r w:rsidRPr="0092414E">
        <w:rPr>
          <w:rFonts w:asciiTheme="minorHAnsi" w:hAnsiTheme="minorHAnsi"/>
          <w:b/>
          <w:i/>
          <w:sz w:val="22"/>
          <w:szCs w:val="22"/>
        </w:rPr>
        <w:t>obrazovanju</w:t>
      </w:r>
      <w:proofErr w:type="spellEnd"/>
      <w:r w:rsidRPr="0092414E">
        <w:rPr>
          <w:rFonts w:asciiTheme="minorHAnsi" w:hAnsiTheme="minorHAnsi"/>
          <w:b/>
          <w:i/>
          <w:sz w:val="22"/>
          <w:szCs w:val="22"/>
        </w:rPr>
        <w:t xml:space="preserve"> je </w:t>
      </w:r>
      <w:proofErr w:type="spellStart"/>
      <w:r w:rsidR="003A63CD">
        <w:rPr>
          <w:rFonts w:asciiTheme="minorHAnsi" w:hAnsiTheme="minorHAnsi"/>
          <w:b/>
          <w:i/>
          <w:sz w:val="22"/>
          <w:szCs w:val="22"/>
        </w:rPr>
        <w:t>niska</w:t>
      </w:r>
      <w:proofErr w:type="spellEnd"/>
      <w:r w:rsidR="003A63CD">
        <w:rPr>
          <w:rFonts w:asciiTheme="minorHAnsi" w:hAnsiTheme="minorHAnsi"/>
          <w:b/>
          <w:i/>
          <w:sz w:val="22"/>
          <w:szCs w:val="22"/>
        </w:rPr>
        <w:t xml:space="preserve"> </w:t>
      </w:r>
      <w:proofErr w:type="spellStart"/>
      <w:r w:rsidR="003A63CD">
        <w:rPr>
          <w:rFonts w:asciiTheme="minorHAnsi" w:hAnsiTheme="minorHAnsi"/>
          <w:b/>
          <w:i/>
          <w:sz w:val="22"/>
          <w:szCs w:val="22"/>
        </w:rPr>
        <w:t>izuzev</w:t>
      </w:r>
      <w:proofErr w:type="spellEnd"/>
      <w:r w:rsidR="003A63CD">
        <w:rPr>
          <w:rFonts w:asciiTheme="minorHAnsi" w:hAnsiTheme="minorHAnsi"/>
          <w:b/>
          <w:i/>
          <w:sz w:val="22"/>
          <w:szCs w:val="22"/>
        </w:rPr>
        <w:t xml:space="preserve"> </w:t>
      </w:r>
      <w:proofErr w:type="spellStart"/>
      <w:r w:rsidR="003A63CD">
        <w:rPr>
          <w:rFonts w:asciiTheme="minorHAnsi" w:hAnsiTheme="minorHAnsi"/>
          <w:b/>
          <w:i/>
          <w:sz w:val="22"/>
          <w:szCs w:val="22"/>
        </w:rPr>
        <w:t>izrazito</w:t>
      </w:r>
      <w:proofErr w:type="spellEnd"/>
      <w:r w:rsidR="003A63CD">
        <w:rPr>
          <w:rFonts w:asciiTheme="minorHAnsi" w:hAnsiTheme="minorHAnsi"/>
          <w:b/>
          <w:i/>
          <w:sz w:val="22"/>
          <w:szCs w:val="22"/>
        </w:rPr>
        <w:t xml:space="preserve"> </w:t>
      </w:r>
      <w:proofErr w:type="spellStart"/>
      <w:r w:rsidR="003A63CD">
        <w:rPr>
          <w:rFonts w:asciiTheme="minorHAnsi" w:hAnsiTheme="minorHAnsi"/>
          <w:b/>
          <w:i/>
          <w:sz w:val="22"/>
          <w:szCs w:val="22"/>
        </w:rPr>
        <w:t>visokih</w:t>
      </w:r>
      <w:proofErr w:type="spellEnd"/>
      <w:r w:rsidR="003A63CD">
        <w:rPr>
          <w:rFonts w:asciiTheme="minorHAnsi" w:hAnsiTheme="minorHAnsi"/>
          <w:b/>
          <w:i/>
          <w:sz w:val="22"/>
          <w:szCs w:val="22"/>
        </w:rPr>
        <w:t xml:space="preserve"> </w:t>
      </w:r>
      <w:proofErr w:type="spellStart"/>
      <w:r w:rsidR="003A63CD">
        <w:rPr>
          <w:rFonts w:asciiTheme="minorHAnsi" w:hAnsiTheme="minorHAnsi"/>
          <w:b/>
          <w:i/>
          <w:sz w:val="22"/>
          <w:szCs w:val="22"/>
        </w:rPr>
        <w:t>vrednosti</w:t>
      </w:r>
      <w:proofErr w:type="spellEnd"/>
      <w:r w:rsidR="003A63CD">
        <w:rPr>
          <w:rFonts w:asciiTheme="minorHAnsi" w:hAnsiTheme="minorHAnsi"/>
          <w:b/>
          <w:i/>
          <w:sz w:val="22"/>
          <w:szCs w:val="22"/>
        </w:rPr>
        <w:t xml:space="preserve"> u </w:t>
      </w:r>
      <w:proofErr w:type="spellStart"/>
      <w:r w:rsidR="003A63CD">
        <w:rPr>
          <w:rFonts w:asciiTheme="minorHAnsi" w:hAnsiTheme="minorHAnsi"/>
          <w:b/>
          <w:i/>
          <w:sz w:val="22"/>
          <w:szCs w:val="22"/>
        </w:rPr>
        <w:t>pojedinim</w:t>
      </w:r>
      <w:proofErr w:type="spellEnd"/>
      <w:r w:rsidR="003A63CD">
        <w:rPr>
          <w:rFonts w:asciiTheme="minorHAnsi" w:hAnsiTheme="minorHAnsi"/>
          <w:b/>
          <w:i/>
          <w:sz w:val="22"/>
          <w:szCs w:val="22"/>
        </w:rPr>
        <w:t xml:space="preserve"> </w:t>
      </w:r>
      <w:proofErr w:type="spellStart"/>
      <w:r w:rsidR="003A63CD">
        <w:rPr>
          <w:rFonts w:asciiTheme="minorHAnsi" w:hAnsiTheme="minorHAnsi"/>
          <w:b/>
          <w:i/>
          <w:sz w:val="22"/>
          <w:szCs w:val="22"/>
        </w:rPr>
        <w:t>godinama</w:t>
      </w:r>
      <w:proofErr w:type="spellEnd"/>
      <w:r w:rsidR="003A63CD">
        <w:rPr>
          <w:rFonts w:asciiTheme="minorHAnsi" w:hAnsiTheme="minorHAnsi"/>
          <w:b/>
          <w:i/>
          <w:sz w:val="22"/>
          <w:szCs w:val="22"/>
        </w:rPr>
        <w:t xml:space="preserve"> </w:t>
      </w:r>
      <w:proofErr w:type="spellStart"/>
      <w:r w:rsidR="003A63CD">
        <w:rPr>
          <w:rFonts w:asciiTheme="minorHAnsi" w:hAnsiTheme="minorHAnsi"/>
          <w:b/>
          <w:i/>
          <w:sz w:val="22"/>
          <w:szCs w:val="22"/>
        </w:rPr>
        <w:t>kao</w:t>
      </w:r>
      <w:proofErr w:type="spellEnd"/>
      <w:r w:rsidR="003A63CD">
        <w:rPr>
          <w:rFonts w:asciiTheme="minorHAnsi" w:hAnsiTheme="minorHAnsi"/>
          <w:b/>
          <w:i/>
          <w:sz w:val="22"/>
          <w:szCs w:val="22"/>
        </w:rPr>
        <w:t xml:space="preserve"> </w:t>
      </w:r>
      <w:proofErr w:type="spellStart"/>
      <w:r w:rsidR="003A63CD">
        <w:rPr>
          <w:rFonts w:asciiTheme="minorHAnsi" w:hAnsiTheme="minorHAnsi"/>
          <w:b/>
          <w:i/>
          <w:sz w:val="22"/>
          <w:szCs w:val="22"/>
        </w:rPr>
        <w:t>što</w:t>
      </w:r>
      <w:proofErr w:type="spellEnd"/>
      <w:r w:rsidR="003A63CD">
        <w:rPr>
          <w:rFonts w:asciiTheme="minorHAnsi" w:hAnsiTheme="minorHAnsi"/>
          <w:b/>
          <w:i/>
          <w:sz w:val="22"/>
          <w:szCs w:val="22"/>
        </w:rPr>
        <w:t xml:space="preserve"> je 2011. </w:t>
      </w:r>
      <w:proofErr w:type="spellStart"/>
      <w:r w:rsidR="003A63CD">
        <w:rPr>
          <w:rFonts w:asciiTheme="minorHAnsi" w:hAnsiTheme="minorHAnsi"/>
          <w:b/>
          <w:i/>
          <w:sz w:val="22"/>
          <w:szCs w:val="22"/>
        </w:rPr>
        <w:t>i</w:t>
      </w:r>
      <w:proofErr w:type="spellEnd"/>
      <w:r w:rsidR="003A63CD">
        <w:rPr>
          <w:rFonts w:asciiTheme="minorHAnsi" w:hAnsiTheme="minorHAnsi"/>
          <w:b/>
          <w:i/>
          <w:sz w:val="22"/>
          <w:szCs w:val="22"/>
        </w:rPr>
        <w:t xml:space="preserve"> 2018. </w:t>
      </w:r>
      <w:proofErr w:type="spellStart"/>
      <w:r w:rsidR="003A63CD">
        <w:rPr>
          <w:rFonts w:asciiTheme="minorHAnsi" w:hAnsiTheme="minorHAnsi"/>
          <w:b/>
          <w:i/>
          <w:sz w:val="22"/>
          <w:szCs w:val="22"/>
        </w:rPr>
        <w:t>godina</w:t>
      </w:r>
      <w:proofErr w:type="spellEnd"/>
      <w:r w:rsidR="0092414E" w:rsidRPr="0092414E">
        <w:rPr>
          <w:rFonts w:asciiTheme="minorHAnsi" w:hAnsiTheme="minorHAnsi"/>
          <w:b/>
          <w:i/>
          <w:sz w:val="22"/>
          <w:szCs w:val="22"/>
        </w:rPr>
        <w:t xml:space="preserve">. </w:t>
      </w:r>
      <w:proofErr w:type="spellStart"/>
      <w:r w:rsidR="0092414E">
        <w:rPr>
          <w:rFonts w:asciiTheme="minorHAnsi" w:hAnsiTheme="minorHAnsi"/>
          <w:sz w:val="22"/>
          <w:szCs w:val="22"/>
        </w:rPr>
        <w:t>Iako</w:t>
      </w:r>
      <w:proofErr w:type="spellEnd"/>
      <w:r w:rsidR="0092414E">
        <w:rPr>
          <w:rFonts w:asciiTheme="minorHAnsi" w:hAnsiTheme="minorHAnsi"/>
          <w:sz w:val="22"/>
          <w:szCs w:val="22"/>
        </w:rPr>
        <w:t xml:space="preserve"> </w:t>
      </w:r>
      <w:proofErr w:type="spellStart"/>
      <w:r w:rsidR="0092414E">
        <w:rPr>
          <w:rFonts w:asciiTheme="minorHAnsi" w:hAnsiTheme="minorHAnsi"/>
          <w:sz w:val="22"/>
          <w:szCs w:val="22"/>
        </w:rPr>
        <w:t>podaci</w:t>
      </w:r>
      <w:proofErr w:type="spellEnd"/>
      <w:r w:rsidR="0092414E">
        <w:rPr>
          <w:rFonts w:asciiTheme="minorHAnsi" w:hAnsiTheme="minorHAnsi"/>
          <w:sz w:val="22"/>
          <w:szCs w:val="22"/>
        </w:rPr>
        <w:t xml:space="preserve"> </w:t>
      </w:r>
      <w:proofErr w:type="spellStart"/>
      <w:r w:rsidR="0092414E">
        <w:rPr>
          <w:rFonts w:asciiTheme="minorHAnsi" w:hAnsiTheme="minorHAnsi"/>
          <w:sz w:val="22"/>
          <w:szCs w:val="22"/>
        </w:rPr>
        <w:t>fluktuiraju</w:t>
      </w:r>
      <w:proofErr w:type="spellEnd"/>
      <w:r w:rsidR="0010786D">
        <w:rPr>
          <w:rFonts w:asciiTheme="minorHAnsi" w:hAnsiTheme="minorHAnsi"/>
          <w:sz w:val="22"/>
          <w:szCs w:val="22"/>
        </w:rPr>
        <w:t xml:space="preserve">, </w:t>
      </w:r>
      <w:proofErr w:type="spellStart"/>
      <w:r w:rsidR="0010786D">
        <w:rPr>
          <w:rFonts w:asciiTheme="minorHAnsi" w:hAnsiTheme="minorHAnsi"/>
          <w:sz w:val="22"/>
          <w:szCs w:val="22"/>
        </w:rPr>
        <w:t>ipak</w:t>
      </w:r>
      <w:proofErr w:type="spellEnd"/>
      <w:r w:rsidR="0010786D">
        <w:rPr>
          <w:rFonts w:asciiTheme="minorHAnsi" w:hAnsiTheme="minorHAnsi"/>
          <w:sz w:val="22"/>
          <w:szCs w:val="22"/>
        </w:rPr>
        <w:t xml:space="preserve"> se </w:t>
      </w:r>
      <w:proofErr w:type="spellStart"/>
      <w:r w:rsidR="0010786D">
        <w:rPr>
          <w:rFonts w:asciiTheme="minorHAnsi" w:hAnsiTheme="minorHAnsi"/>
          <w:sz w:val="22"/>
          <w:szCs w:val="22"/>
        </w:rPr>
        <w:t>može</w:t>
      </w:r>
      <w:proofErr w:type="spellEnd"/>
      <w:r w:rsidR="0010786D">
        <w:rPr>
          <w:rFonts w:asciiTheme="minorHAnsi" w:hAnsiTheme="minorHAnsi"/>
          <w:sz w:val="22"/>
          <w:szCs w:val="22"/>
        </w:rPr>
        <w:t xml:space="preserve"> </w:t>
      </w:r>
      <w:proofErr w:type="spellStart"/>
      <w:r w:rsidR="0010786D">
        <w:rPr>
          <w:rFonts w:asciiTheme="minorHAnsi" w:hAnsiTheme="minorHAnsi"/>
          <w:sz w:val="22"/>
          <w:szCs w:val="22"/>
        </w:rPr>
        <w:t>reći</w:t>
      </w:r>
      <w:proofErr w:type="spellEnd"/>
      <w:r w:rsidR="0010786D">
        <w:rPr>
          <w:rFonts w:asciiTheme="minorHAnsi" w:hAnsiTheme="minorHAnsi"/>
          <w:sz w:val="22"/>
          <w:szCs w:val="22"/>
        </w:rPr>
        <w:t xml:space="preserve"> da</w:t>
      </w:r>
      <w:r w:rsidR="0092414E">
        <w:rPr>
          <w:rFonts w:asciiTheme="minorHAnsi" w:hAnsiTheme="minorHAnsi"/>
          <w:sz w:val="22"/>
          <w:szCs w:val="22"/>
        </w:rPr>
        <w:t xml:space="preserve"> je </w:t>
      </w:r>
      <w:proofErr w:type="spellStart"/>
      <w:r w:rsidR="00070A07">
        <w:rPr>
          <w:rFonts w:asciiTheme="minorHAnsi" w:hAnsiTheme="minorHAnsi"/>
          <w:sz w:val="22"/>
          <w:szCs w:val="22"/>
        </w:rPr>
        <w:t>tokom</w:t>
      </w:r>
      <w:proofErr w:type="spellEnd"/>
      <w:r w:rsidR="00070A07">
        <w:rPr>
          <w:rFonts w:asciiTheme="minorHAnsi" w:hAnsiTheme="minorHAnsi"/>
          <w:sz w:val="22"/>
          <w:szCs w:val="22"/>
        </w:rPr>
        <w:t xml:space="preserve"> </w:t>
      </w:r>
      <w:proofErr w:type="spellStart"/>
      <w:r w:rsidR="00070A07">
        <w:rPr>
          <w:rFonts w:asciiTheme="minorHAnsi" w:hAnsiTheme="minorHAnsi"/>
          <w:sz w:val="22"/>
          <w:szCs w:val="22"/>
        </w:rPr>
        <w:t>desetogodišnjeg</w:t>
      </w:r>
      <w:proofErr w:type="spellEnd"/>
      <w:r w:rsidR="00070A07">
        <w:rPr>
          <w:rFonts w:asciiTheme="minorHAnsi" w:hAnsiTheme="minorHAnsi"/>
          <w:sz w:val="22"/>
          <w:szCs w:val="22"/>
        </w:rPr>
        <w:t xml:space="preserve"> </w:t>
      </w:r>
      <w:proofErr w:type="spellStart"/>
      <w:r w:rsidR="00070A07">
        <w:rPr>
          <w:rFonts w:asciiTheme="minorHAnsi" w:hAnsiTheme="minorHAnsi"/>
          <w:sz w:val="22"/>
          <w:szCs w:val="22"/>
        </w:rPr>
        <w:t>perioda</w:t>
      </w:r>
      <w:proofErr w:type="spellEnd"/>
      <w:r w:rsidR="00070A07">
        <w:rPr>
          <w:rFonts w:asciiTheme="minorHAnsi" w:hAnsiTheme="minorHAnsi"/>
          <w:sz w:val="22"/>
          <w:szCs w:val="22"/>
        </w:rPr>
        <w:t xml:space="preserve"> </w:t>
      </w:r>
      <w:proofErr w:type="spellStart"/>
      <w:r w:rsidR="0092414E">
        <w:rPr>
          <w:rFonts w:asciiTheme="minorHAnsi" w:hAnsiTheme="minorHAnsi"/>
          <w:sz w:val="22"/>
          <w:szCs w:val="22"/>
        </w:rPr>
        <w:t>stopa</w:t>
      </w:r>
      <w:proofErr w:type="spellEnd"/>
      <w:r w:rsidR="0092414E">
        <w:rPr>
          <w:rFonts w:asciiTheme="minorHAnsi" w:hAnsiTheme="minorHAnsi"/>
          <w:sz w:val="22"/>
          <w:szCs w:val="22"/>
        </w:rPr>
        <w:t xml:space="preserve"> </w:t>
      </w:r>
      <w:proofErr w:type="spellStart"/>
      <w:r w:rsidR="0092414E">
        <w:rPr>
          <w:rFonts w:asciiTheme="minorHAnsi" w:hAnsiTheme="minorHAnsi"/>
          <w:sz w:val="22"/>
          <w:szCs w:val="22"/>
        </w:rPr>
        <w:t>odustajanja</w:t>
      </w:r>
      <w:proofErr w:type="spellEnd"/>
      <w:r w:rsidR="00070A07">
        <w:rPr>
          <w:rFonts w:asciiTheme="minorHAnsi" w:hAnsiTheme="minorHAnsi"/>
          <w:sz w:val="22"/>
          <w:szCs w:val="22"/>
        </w:rPr>
        <w:t xml:space="preserve"> u </w:t>
      </w:r>
      <w:proofErr w:type="spellStart"/>
      <w:r w:rsidR="003A63CD">
        <w:rPr>
          <w:rFonts w:asciiTheme="minorHAnsi" w:hAnsiTheme="minorHAnsi"/>
          <w:sz w:val="22"/>
          <w:szCs w:val="22"/>
        </w:rPr>
        <w:t>Baču</w:t>
      </w:r>
      <w:proofErr w:type="spellEnd"/>
      <w:r w:rsidR="003A63CD">
        <w:rPr>
          <w:rFonts w:asciiTheme="minorHAnsi" w:hAnsiTheme="minorHAnsi"/>
          <w:sz w:val="22"/>
          <w:szCs w:val="22"/>
        </w:rPr>
        <w:t xml:space="preserve"> </w:t>
      </w:r>
      <w:proofErr w:type="spellStart"/>
      <w:r w:rsidR="003A63CD">
        <w:rPr>
          <w:rFonts w:asciiTheme="minorHAnsi" w:hAnsiTheme="minorHAnsi"/>
          <w:sz w:val="22"/>
          <w:szCs w:val="22"/>
        </w:rPr>
        <w:t>niža</w:t>
      </w:r>
      <w:proofErr w:type="spellEnd"/>
      <w:r w:rsidR="003A63CD">
        <w:rPr>
          <w:rFonts w:asciiTheme="minorHAnsi" w:hAnsiTheme="minorHAnsi"/>
          <w:sz w:val="22"/>
          <w:szCs w:val="22"/>
        </w:rPr>
        <w:t xml:space="preserve"> </w:t>
      </w:r>
      <w:proofErr w:type="spellStart"/>
      <w:r w:rsidR="003A63CD">
        <w:rPr>
          <w:rFonts w:asciiTheme="minorHAnsi" w:hAnsiTheme="minorHAnsi"/>
          <w:sz w:val="22"/>
          <w:szCs w:val="22"/>
        </w:rPr>
        <w:t>od</w:t>
      </w:r>
      <w:proofErr w:type="spellEnd"/>
      <w:r w:rsidR="003A63CD">
        <w:rPr>
          <w:rFonts w:asciiTheme="minorHAnsi" w:hAnsiTheme="minorHAnsi"/>
          <w:sz w:val="22"/>
          <w:szCs w:val="22"/>
        </w:rPr>
        <w:t xml:space="preserve"> </w:t>
      </w:r>
      <w:proofErr w:type="spellStart"/>
      <w:r w:rsidR="003A63CD">
        <w:rPr>
          <w:rFonts w:asciiTheme="minorHAnsi" w:hAnsiTheme="minorHAnsi"/>
          <w:sz w:val="22"/>
          <w:szCs w:val="22"/>
        </w:rPr>
        <w:t>proseka</w:t>
      </w:r>
      <w:proofErr w:type="spellEnd"/>
      <w:r w:rsidR="003A63CD">
        <w:rPr>
          <w:rFonts w:asciiTheme="minorHAnsi" w:hAnsiTheme="minorHAnsi"/>
          <w:sz w:val="22"/>
          <w:szCs w:val="22"/>
        </w:rPr>
        <w:t xml:space="preserve"> </w:t>
      </w:r>
      <w:proofErr w:type="spellStart"/>
      <w:r w:rsidR="003A63CD">
        <w:rPr>
          <w:rFonts w:asciiTheme="minorHAnsi" w:hAnsiTheme="minorHAnsi"/>
          <w:sz w:val="22"/>
          <w:szCs w:val="22"/>
        </w:rPr>
        <w:t>Srbije</w:t>
      </w:r>
      <w:proofErr w:type="spellEnd"/>
      <w:r w:rsidR="00010E4C">
        <w:rPr>
          <w:rFonts w:asciiTheme="minorHAnsi" w:hAnsiTheme="minorHAnsi"/>
          <w:sz w:val="22"/>
          <w:szCs w:val="22"/>
        </w:rPr>
        <w:t xml:space="preserve">. </w:t>
      </w:r>
    </w:p>
    <w:p w14:paraId="127C11C5" w14:textId="77777777" w:rsidR="00393775" w:rsidRDefault="00393775" w:rsidP="00DB5D24">
      <w:pPr>
        <w:rPr>
          <w:rFonts w:asciiTheme="minorHAnsi" w:hAnsiTheme="minorHAnsi"/>
          <w:b/>
        </w:rPr>
      </w:pPr>
    </w:p>
    <w:p w14:paraId="333CA168" w14:textId="356A7F23" w:rsidR="00DB5D24" w:rsidRDefault="0092414E" w:rsidP="00DB5D24">
      <w:pPr>
        <w:rPr>
          <w:rFonts w:asciiTheme="minorHAnsi" w:hAnsiTheme="minorHAnsi"/>
          <w:b/>
        </w:rPr>
      </w:pPr>
      <w:proofErr w:type="spellStart"/>
      <w:r>
        <w:rPr>
          <w:rFonts w:asciiTheme="minorHAnsi" w:hAnsiTheme="minorHAnsi"/>
          <w:b/>
        </w:rPr>
        <w:t>Grafiko</w:t>
      </w:r>
      <w:r w:rsidR="0032035D">
        <w:rPr>
          <w:rFonts w:asciiTheme="minorHAnsi" w:hAnsiTheme="minorHAnsi"/>
          <w:b/>
        </w:rPr>
        <w:t>n</w:t>
      </w:r>
      <w:proofErr w:type="spellEnd"/>
      <w:r w:rsidR="0032035D">
        <w:rPr>
          <w:rFonts w:asciiTheme="minorHAnsi" w:hAnsiTheme="minorHAnsi"/>
          <w:b/>
        </w:rPr>
        <w:t xml:space="preserve"> </w:t>
      </w:r>
      <w:r w:rsidR="00061868">
        <w:rPr>
          <w:rFonts w:asciiTheme="minorHAnsi" w:hAnsiTheme="minorHAnsi"/>
          <w:b/>
        </w:rPr>
        <w:t>6</w:t>
      </w:r>
      <w:r w:rsidR="0032035D">
        <w:rPr>
          <w:rFonts w:asciiTheme="minorHAnsi" w:hAnsiTheme="minorHAnsi"/>
          <w:b/>
        </w:rPr>
        <w:t xml:space="preserve">. </w:t>
      </w:r>
      <w:proofErr w:type="spellStart"/>
      <w:r w:rsidR="00CC7614">
        <w:rPr>
          <w:rFonts w:asciiTheme="minorHAnsi" w:hAnsiTheme="minorHAnsi"/>
          <w:b/>
        </w:rPr>
        <w:t>Stopa</w:t>
      </w:r>
      <w:proofErr w:type="spellEnd"/>
      <w:r w:rsidR="00CC7614">
        <w:rPr>
          <w:rFonts w:asciiTheme="minorHAnsi" w:hAnsiTheme="minorHAnsi"/>
          <w:b/>
        </w:rPr>
        <w:t xml:space="preserve"> </w:t>
      </w:r>
      <w:proofErr w:type="spellStart"/>
      <w:r w:rsidR="00CC7614">
        <w:rPr>
          <w:rFonts w:asciiTheme="minorHAnsi" w:hAnsiTheme="minorHAnsi"/>
          <w:b/>
        </w:rPr>
        <w:t>odustajanja</w:t>
      </w:r>
      <w:proofErr w:type="spellEnd"/>
      <w:r w:rsidR="00CC7614">
        <w:rPr>
          <w:rFonts w:asciiTheme="minorHAnsi" w:hAnsiTheme="minorHAnsi"/>
          <w:b/>
        </w:rPr>
        <w:t xml:space="preserve"> </w:t>
      </w:r>
      <w:proofErr w:type="spellStart"/>
      <w:r w:rsidR="00CC7614">
        <w:rPr>
          <w:rFonts w:asciiTheme="minorHAnsi" w:hAnsiTheme="minorHAnsi"/>
          <w:b/>
        </w:rPr>
        <w:t>od</w:t>
      </w:r>
      <w:proofErr w:type="spellEnd"/>
      <w:r w:rsidR="00CC7614">
        <w:rPr>
          <w:rFonts w:asciiTheme="minorHAnsi" w:hAnsiTheme="minorHAnsi"/>
          <w:b/>
        </w:rPr>
        <w:t xml:space="preserve"> </w:t>
      </w:r>
      <w:proofErr w:type="spellStart"/>
      <w:r w:rsidR="00CC7614">
        <w:rPr>
          <w:rFonts w:asciiTheme="minorHAnsi" w:hAnsiTheme="minorHAnsi"/>
          <w:b/>
        </w:rPr>
        <w:t>školovanja</w:t>
      </w:r>
      <w:proofErr w:type="spellEnd"/>
      <w:r w:rsidR="00CC7614">
        <w:rPr>
          <w:rFonts w:asciiTheme="minorHAnsi" w:hAnsiTheme="minorHAnsi"/>
          <w:b/>
        </w:rPr>
        <w:t xml:space="preserve"> u </w:t>
      </w:r>
      <w:proofErr w:type="spellStart"/>
      <w:r w:rsidR="00CC7614">
        <w:rPr>
          <w:rFonts w:asciiTheme="minorHAnsi" w:hAnsiTheme="minorHAnsi"/>
          <w:b/>
        </w:rPr>
        <w:t>osnovnom</w:t>
      </w:r>
      <w:proofErr w:type="spellEnd"/>
      <w:r w:rsidR="00CC7614">
        <w:rPr>
          <w:rFonts w:asciiTheme="minorHAnsi" w:hAnsiTheme="minorHAnsi"/>
          <w:b/>
        </w:rPr>
        <w:t xml:space="preserve"> </w:t>
      </w:r>
      <w:proofErr w:type="spellStart"/>
      <w:r w:rsidR="00CC7614">
        <w:rPr>
          <w:rFonts w:asciiTheme="minorHAnsi" w:hAnsiTheme="minorHAnsi"/>
          <w:b/>
        </w:rPr>
        <w:t>obrazovanju</w:t>
      </w:r>
      <w:proofErr w:type="spellEnd"/>
    </w:p>
    <w:p w14:paraId="018D3983" w14:textId="3224A446" w:rsidR="00CC7614" w:rsidRPr="00CC7614" w:rsidRDefault="00281005" w:rsidP="00DB5D24">
      <w:pPr>
        <w:rPr>
          <w:rFonts w:asciiTheme="minorHAnsi" w:hAnsiTheme="minorHAnsi"/>
          <w:b/>
        </w:rPr>
      </w:pPr>
      <w:r>
        <w:rPr>
          <w:noProof/>
        </w:rPr>
        <w:drawing>
          <wp:inline distT="0" distB="0" distL="0" distR="0" wp14:anchorId="42BEEB92" wp14:editId="31600739">
            <wp:extent cx="4572000" cy="274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72000" cy="2743200"/>
                    </a:xfrm>
                    <a:prstGeom prst="rect">
                      <a:avLst/>
                    </a:prstGeom>
                  </pic:spPr>
                </pic:pic>
              </a:graphicData>
            </a:graphic>
          </wp:inline>
        </w:drawing>
      </w:r>
    </w:p>
    <w:p w14:paraId="6B759BE2" w14:textId="064C5299" w:rsidR="00BA68EF" w:rsidRPr="00F31D38" w:rsidRDefault="00F31D38" w:rsidP="00DB5D24">
      <w:pPr>
        <w:rPr>
          <w:rFonts w:asciiTheme="minorHAnsi" w:hAnsiTheme="minorHAnsi"/>
          <w:sz w:val="18"/>
          <w:szCs w:val="18"/>
        </w:rPr>
      </w:pPr>
      <w:proofErr w:type="spellStart"/>
      <w:r w:rsidRPr="002D6D78">
        <w:rPr>
          <w:rFonts w:asciiTheme="minorHAnsi" w:hAnsiTheme="minorHAnsi"/>
          <w:sz w:val="18"/>
          <w:szCs w:val="18"/>
        </w:rPr>
        <w:t>Izvor</w:t>
      </w:r>
      <w:proofErr w:type="spellEnd"/>
      <w:r w:rsidRPr="002D6D78">
        <w:rPr>
          <w:rFonts w:asciiTheme="minorHAnsi" w:hAnsiTheme="minorHAnsi"/>
          <w:sz w:val="18"/>
          <w:szCs w:val="18"/>
        </w:rPr>
        <w:t xml:space="preserve">: </w:t>
      </w:r>
      <w:proofErr w:type="spellStart"/>
      <w:r w:rsidRPr="002D6D78">
        <w:rPr>
          <w:rFonts w:asciiTheme="minorHAnsi" w:hAnsiTheme="minorHAnsi"/>
          <w:sz w:val="18"/>
          <w:szCs w:val="18"/>
        </w:rPr>
        <w:t>Devinfo</w:t>
      </w:r>
      <w:proofErr w:type="spellEnd"/>
      <w:r w:rsidRPr="002D6D78">
        <w:rPr>
          <w:rFonts w:asciiTheme="minorHAnsi" w:hAnsiTheme="minorHAnsi"/>
          <w:sz w:val="18"/>
          <w:szCs w:val="18"/>
        </w:rPr>
        <w:t xml:space="preserve"> </w:t>
      </w:r>
      <w:proofErr w:type="spellStart"/>
      <w:r w:rsidRPr="002D6D78">
        <w:rPr>
          <w:rFonts w:asciiTheme="minorHAnsi" w:hAnsiTheme="minorHAnsi"/>
          <w:sz w:val="18"/>
          <w:szCs w:val="18"/>
        </w:rPr>
        <w:t>baza</w:t>
      </w:r>
      <w:proofErr w:type="spellEnd"/>
    </w:p>
    <w:p w14:paraId="468B6A16" w14:textId="6D7199AB" w:rsidR="00BA68EF" w:rsidRDefault="00BA68EF" w:rsidP="00DB5D24">
      <w:pPr>
        <w:rPr>
          <w:rFonts w:asciiTheme="minorHAnsi" w:hAnsiTheme="minorHAnsi"/>
          <w:b/>
          <w:smallCaps/>
        </w:rPr>
      </w:pPr>
    </w:p>
    <w:p w14:paraId="4C6DB782" w14:textId="265646A1" w:rsidR="006C0D54" w:rsidRPr="006E6E5B" w:rsidRDefault="0010786D" w:rsidP="006E0070">
      <w:pPr>
        <w:jc w:val="both"/>
        <w:rPr>
          <w:rFonts w:asciiTheme="minorHAnsi" w:hAnsiTheme="minorHAnsi"/>
          <w:sz w:val="22"/>
          <w:szCs w:val="22"/>
        </w:rPr>
      </w:pPr>
      <w:proofErr w:type="spellStart"/>
      <w:r w:rsidRPr="006E6E5B">
        <w:rPr>
          <w:rFonts w:asciiTheme="minorHAnsi" w:hAnsiTheme="minorHAnsi"/>
          <w:b/>
          <w:i/>
          <w:sz w:val="22"/>
          <w:szCs w:val="22"/>
        </w:rPr>
        <w:t>Stopa</w:t>
      </w:r>
      <w:proofErr w:type="spellEnd"/>
      <w:r w:rsidRPr="006E6E5B">
        <w:rPr>
          <w:rFonts w:asciiTheme="minorHAnsi" w:hAnsiTheme="minorHAnsi"/>
          <w:b/>
          <w:i/>
          <w:sz w:val="22"/>
          <w:szCs w:val="22"/>
        </w:rPr>
        <w:t xml:space="preserve"> </w:t>
      </w:r>
      <w:proofErr w:type="spellStart"/>
      <w:r w:rsidRPr="006E6E5B">
        <w:rPr>
          <w:rFonts w:asciiTheme="minorHAnsi" w:hAnsiTheme="minorHAnsi"/>
          <w:b/>
          <w:i/>
          <w:sz w:val="22"/>
          <w:szCs w:val="22"/>
        </w:rPr>
        <w:t>završavanja</w:t>
      </w:r>
      <w:proofErr w:type="spellEnd"/>
      <w:r w:rsidRPr="006E6E5B">
        <w:rPr>
          <w:rFonts w:asciiTheme="minorHAnsi" w:hAnsiTheme="minorHAnsi"/>
          <w:b/>
          <w:i/>
          <w:sz w:val="22"/>
          <w:szCs w:val="22"/>
        </w:rPr>
        <w:t xml:space="preserve"> </w:t>
      </w:r>
      <w:proofErr w:type="spellStart"/>
      <w:r w:rsidRPr="006E6E5B">
        <w:rPr>
          <w:rFonts w:asciiTheme="minorHAnsi" w:hAnsiTheme="minorHAnsi"/>
          <w:b/>
          <w:i/>
          <w:sz w:val="22"/>
          <w:szCs w:val="22"/>
        </w:rPr>
        <w:t>osnovne</w:t>
      </w:r>
      <w:proofErr w:type="spellEnd"/>
      <w:r w:rsidRPr="006E6E5B">
        <w:rPr>
          <w:rFonts w:asciiTheme="minorHAnsi" w:hAnsiTheme="minorHAnsi"/>
          <w:b/>
          <w:i/>
          <w:sz w:val="22"/>
          <w:szCs w:val="22"/>
        </w:rPr>
        <w:t xml:space="preserve"> </w:t>
      </w:r>
      <w:proofErr w:type="spellStart"/>
      <w:r w:rsidRPr="006E6E5B">
        <w:rPr>
          <w:rFonts w:asciiTheme="minorHAnsi" w:hAnsiTheme="minorHAnsi"/>
          <w:b/>
          <w:i/>
          <w:sz w:val="22"/>
          <w:szCs w:val="22"/>
        </w:rPr>
        <w:t>škole</w:t>
      </w:r>
      <w:proofErr w:type="spellEnd"/>
      <w:r w:rsidRPr="006E6E5B">
        <w:rPr>
          <w:rFonts w:asciiTheme="minorHAnsi" w:hAnsiTheme="minorHAnsi"/>
          <w:b/>
          <w:i/>
          <w:sz w:val="22"/>
          <w:szCs w:val="22"/>
        </w:rPr>
        <w:t xml:space="preserve"> </w:t>
      </w:r>
      <w:r w:rsidR="00765481" w:rsidRPr="006E6E5B">
        <w:rPr>
          <w:rFonts w:asciiTheme="minorHAnsi" w:hAnsiTheme="minorHAnsi"/>
          <w:b/>
          <w:i/>
          <w:sz w:val="22"/>
          <w:szCs w:val="22"/>
        </w:rPr>
        <w:t xml:space="preserve">za </w:t>
      </w:r>
      <w:proofErr w:type="spellStart"/>
      <w:r w:rsidR="00765481" w:rsidRPr="006E6E5B">
        <w:rPr>
          <w:rFonts w:asciiTheme="minorHAnsi" w:hAnsiTheme="minorHAnsi"/>
          <w:b/>
          <w:i/>
          <w:sz w:val="22"/>
          <w:szCs w:val="22"/>
        </w:rPr>
        <w:t>petogodišnji</w:t>
      </w:r>
      <w:proofErr w:type="spellEnd"/>
      <w:r w:rsidR="00765481" w:rsidRPr="006E6E5B">
        <w:rPr>
          <w:rFonts w:asciiTheme="minorHAnsi" w:hAnsiTheme="minorHAnsi"/>
          <w:b/>
          <w:i/>
          <w:sz w:val="22"/>
          <w:szCs w:val="22"/>
        </w:rPr>
        <w:t xml:space="preserve"> period </w:t>
      </w:r>
      <w:proofErr w:type="spellStart"/>
      <w:r w:rsidR="00765481" w:rsidRPr="006E6E5B">
        <w:rPr>
          <w:rFonts w:asciiTheme="minorHAnsi" w:hAnsiTheme="minorHAnsi"/>
          <w:b/>
          <w:i/>
          <w:sz w:val="22"/>
          <w:szCs w:val="22"/>
        </w:rPr>
        <w:t>iznosi</w:t>
      </w:r>
      <w:proofErr w:type="spellEnd"/>
      <w:r w:rsidR="00765481" w:rsidRPr="006E6E5B">
        <w:rPr>
          <w:rFonts w:asciiTheme="minorHAnsi" w:hAnsiTheme="minorHAnsi"/>
          <w:b/>
          <w:i/>
          <w:sz w:val="22"/>
          <w:szCs w:val="22"/>
        </w:rPr>
        <w:t xml:space="preserve"> u </w:t>
      </w:r>
      <w:proofErr w:type="spellStart"/>
      <w:r w:rsidR="00765481" w:rsidRPr="006E6E5B">
        <w:rPr>
          <w:rFonts w:asciiTheme="minorHAnsi" w:hAnsiTheme="minorHAnsi"/>
          <w:b/>
          <w:i/>
          <w:sz w:val="22"/>
          <w:szCs w:val="22"/>
        </w:rPr>
        <w:t>proseku</w:t>
      </w:r>
      <w:proofErr w:type="spellEnd"/>
      <w:r w:rsidR="005B1322" w:rsidRPr="006E6E5B">
        <w:rPr>
          <w:rFonts w:asciiTheme="minorHAnsi" w:hAnsiTheme="minorHAnsi"/>
          <w:b/>
          <w:i/>
          <w:sz w:val="22"/>
          <w:szCs w:val="22"/>
        </w:rPr>
        <w:t xml:space="preserve"> </w:t>
      </w:r>
      <w:r w:rsidR="00765481" w:rsidRPr="006E6E5B">
        <w:rPr>
          <w:rFonts w:asciiTheme="minorHAnsi" w:hAnsiTheme="minorHAnsi"/>
          <w:b/>
          <w:i/>
          <w:sz w:val="22"/>
          <w:szCs w:val="22"/>
        </w:rPr>
        <w:t>9</w:t>
      </w:r>
      <w:r w:rsidR="00061868">
        <w:rPr>
          <w:rFonts w:asciiTheme="minorHAnsi" w:hAnsiTheme="minorHAnsi"/>
          <w:b/>
          <w:i/>
          <w:sz w:val="22"/>
          <w:szCs w:val="22"/>
        </w:rPr>
        <w:t>3</w:t>
      </w:r>
      <w:r w:rsidR="005B1322" w:rsidRPr="006E6E5B">
        <w:rPr>
          <w:rFonts w:asciiTheme="minorHAnsi" w:hAnsiTheme="minorHAnsi"/>
          <w:b/>
          <w:i/>
          <w:sz w:val="22"/>
          <w:szCs w:val="22"/>
        </w:rPr>
        <w:t>,</w:t>
      </w:r>
      <w:r w:rsidR="00061868">
        <w:rPr>
          <w:rFonts w:asciiTheme="minorHAnsi" w:hAnsiTheme="minorHAnsi"/>
          <w:b/>
          <w:i/>
          <w:sz w:val="22"/>
          <w:szCs w:val="22"/>
        </w:rPr>
        <w:t>5</w:t>
      </w:r>
      <w:r w:rsidR="00765481" w:rsidRPr="006E6E5B">
        <w:rPr>
          <w:rFonts w:asciiTheme="minorHAnsi" w:hAnsiTheme="minorHAnsi"/>
          <w:b/>
          <w:i/>
          <w:sz w:val="22"/>
          <w:szCs w:val="22"/>
        </w:rPr>
        <w:t xml:space="preserve">% </w:t>
      </w:r>
      <w:proofErr w:type="spellStart"/>
      <w:r w:rsidR="00765481" w:rsidRPr="006E6E5B">
        <w:rPr>
          <w:rFonts w:asciiTheme="minorHAnsi" w:hAnsiTheme="minorHAnsi"/>
          <w:b/>
          <w:i/>
          <w:sz w:val="22"/>
          <w:szCs w:val="22"/>
        </w:rPr>
        <w:t>što</w:t>
      </w:r>
      <w:proofErr w:type="spellEnd"/>
      <w:r w:rsidR="00765481" w:rsidRPr="006E6E5B">
        <w:rPr>
          <w:rFonts w:asciiTheme="minorHAnsi" w:hAnsiTheme="minorHAnsi"/>
          <w:b/>
          <w:i/>
          <w:sz w:val="22"/>
          <w:szCs w:val="22"/>
        </w:rPr>
        <w:t xml:space="preserve"> je </w:t>
      </w:r>
      <w:proofErr w:type="spellStart"/>
      <w:r w:rsidR="009D5C9A">
        <w:rPr>
          <w:rFonts w:asciiTheme="minorHAnsi" w:hAnsiTheme="minorHAnsi"/>
          <w:b/>
          <w:i/>
          <w:sz w:val="22"/>
          <w:szCs w:val="22"/>
        </w:rPr>
        <w:t>značajno</w:t>
      </w:r>
      <w:proofErr w:type="spellEnd"/>
      <w:r w:rsidR="009D5C9A">
        <w:rPr>
          <w:rFonts w:asciiTheme="minorHAnsi" w:hAnsiTheme="minorHAnsi"/>
          <w:b/>
          <w:i/>
          <w:sz w:val="22"/>
          <w:szCs w:val="22"/>
        </w:rPr>
        <w:t xml:space="preserve"> </w:t>
      </w:r>
      <w:proofErr w:type="spellStart"/>
      <w:r w:rsidR="009D5C9A">
        <w:rPr>
          <w:rFonts w:asciiTheme="minorHAnsi" w:hAnsiTheme="minorHAnsi"/>
          <w:b/>
          <w:i/>
          <w:sz w:val="22"/>
          <w:szCs w:val="22"/>
        </w:rPr>
        <w:t>i</w:t>
      </w:r>
      <w:r w:rsidR="00061868">
        <w:rPr>
          <w:rFonts w:asciiTheme="minorHAnsi" w:hAnsiTheme="minorHAnsi"/>
          <w:b/>
          <w:i/>
          <w:sz w:val="22"/>
          <w:szCs w:val="22"/>
        </w:rPr>
        <w:t>spod</w:t>
      </w:r>
      <w:proofErr w:type="spellEnd"/>
      <w:r w:rsidR="00765481" w:rsidRPr="006E6E5B">
        <w:rPr>
          <w:rFonts w:asciiTheme="minorHAnsi" w:hAnsiTheme="minorHAnsi"/>
          <w:b/>
          <w:i/>
          <w:sz w:val="22"/>
          <w:szCs w:val="22"/>
        </w:rPr>
        <w:t xml:space="preserve"> </w:t>
      </w:r>
      <w:proofErr w:type="spellStart"/>
      <w:r w:rsidR="00765481" w:rsidRPr="006E6E5B">
        <w:rPr>
          <w:rFonts w:asciiTheme="minorHAnsi" w:hAnsiTheme="minorHAnsi"/>
          <w:b/>
          <w:i/>
          <w:sz w:val="22"/>
          <w:szCs w:val="22"/>
        </w:rPr>
        <w:t>proseka</w:t>
      </w:r>
      <w:proofErr w:type="spellEnd"/>
      <w:r w:rsidR="00765481" w:rsidRPr="006E6E5B">
        <w:rPr>
          <w:rFonts w:asciiTheme="minorHAnsi" w:hAnsiTheme="minorHAnsi"/>
          <w:b/>
          <w:i/>
          <w:sz w:val="22"/>
          <w:szCs w:val="22"/>
        </w:rPr>
        <w:t xml:space="preserve"> </w:t>
      </w:r>
      <w:proofErr w:type="spellStart"/>
      <w:r w:rsidR="009D5C9A">
        <w:rPr>
          <w:rFonts w:asciiTheme="minorHAnsi" w:hAnsiTheme="minorHAnsi"/>
          <w:b/>
          <w:i/>
          <w:sz w:val="22"/>
          <w:szCs w:val="22"/>
        </w:rPr>
        <w:t>i</w:t>
      </w:r>
      <w:proofErr w:type="spellEnd"/>
      <w:r w:rsidR="009D5C9A">
        <w:rPr>
          <w:rFonts w:asciiTheme="minorHAnsi" w:hAnsiTheme="minorHAnsi"/>
          <w:b/>
          <w:i/>
          <w:sz w:val="22"/>
          <w:szCs w:val="22"/>
        </w:rPr>
        <w:t xml:space="preserve"> </w:t>
      </w:r>
      <w:proofErr w:type="spellStart"/>
      <w:r w:rsidR="00765481" w:rsidRPr="006E6E5B">
        <w:rPr>
          <w:rFonts w:asciiTheme="minorHAnsi" w:hAnsiTheme="minorHAnsi"/>
          <w:b/>
          <w:i/>
          <w:sz w:val="22"/>
          <w:szCs w:val="22"/>
        </w:rPr>
        <w:t>Republike</w:t>
      </w:r>
      <w:proofErr w:type="spellEnd"/>
      <w:r w:rsidR="005B1322" w:rsidRPr="006E6E5B">
        <w:rPr>
          <w:rFonts w:asciiTheme="minorHAnsi" w:hAnsiTheme="minorHAnsi"/>
          <w:b/>
          <w:i/>
          <w:sz w:val="22"/>
          <w:szCs w:val="22"/>
        </w:rPr>
        <w:t xml:space="preserve"> </w:t>
      </w:r>
      <w:proofErr w:type="spellStart"/>
      <w:r w:rsidR="009D5C9A">
        <w:rPr>
          <w:rFonts w:asciiTheme="minorHAnsi" w:hAnsiTheme="minorHAnsi"/>
          <w:b/>
          <w:i/>
          <w:sz w:val="22"/>
          <w:szCs w:val="22"/>
        </w:rPr>
        <w:t>i</w:t>
      </w:r>
      <w:proofErr w:type="spellEnd"/>
      <w:r w:rsidR="009D5C9A">
        <w:rPr>
          <w:rFonts w:asciiTheme="minorHAnsi" w:hAnsiTheme="minorHAnsi"/>
          <w:b/>
          <w:i/>
          <w:sz w:val="22"/>
          <w:szCs w:val="22"/>
        </w:rPr>
        <w:t xml:space="preserve"> </w:t>
      </w:r>
      <w:proofErr w:type="spellStart"/>
      <w:r w:rsidR="00061868">
        <w:rPr>
          <w:rFonts w:asciiTheme="minorHAnsi" w:hAnsiTheme="minorHAnsi"/>
          <w:b/>
          <w:i/>
          <w:sz w:val="22"/>
          <w:szCs w:val="22"/>
        </w:rPr>
        <w:t>Južnoba</w:t>
      </w:r>
      <w:r w:rsidR="00604ACF">
        <w:rPr>
          <w:rFonts w:asciiTheme="minorHAnsi" w:hAnsiTheme="minorHAnsi"/>
          <w:b/>
          <w:i/>
          <w:sz w:val="22"/>
          <w:szCs w:val="22"/>
        </w:rPr>
        <w:t>čk</w:t>
      </w:r>
      <w:r w:rsidR="00061868">
        <w:rPr>
          <w:rFonts w:asciiTheme="minorHAnsi" w:hAnsiTheme="minorHAnsi"/>
          <w:b/>
          <w:i/>
          <w:sz w:val="22"/>
          <w:szCs w:val="22"/>
        </w:rPr>
        <w:t>e</w:t>
      </w:r>
      <w:proofErr w:type="spellEnd"/>
      <w:r w:rsidR="005B1322" w:rsidRPr="006E6E5B">
        <w:rPr>
          <w:rFonts w:asciiTheme="minorHAnsi" w:hAnsiTheme="minorHAnsi"/>
          <w:b/>
          <w:i/>
          <w:sz w:val="22"/>
          <w:szCs w:val="22"/>
        </w:rPr>
        <w:t xml:space="preserve"> </w:t>
      </w:r>
      <w:proofErr w:type="spellStart"/>
      <w:r w:rsidR="005B1322" w:rsidRPr="006E6E5B">
        <w:rPr>
          <w:rFonts w:asciiTheme="minorHAnsi" w:hAnsiTheme="minorHAnsi"/>
          <w:b/>
          <w:i/>
          <w:sz w:val="22"/>
          <w:szCs w:val="22"/>
        </w:rPr>
        <w:t>oblasti</w:t>
      </w:r>
      <w:proofErr w:type="spellEnd"/>
      <w:r w:rsidR="009D51EC">
        <w:rPr>
          <w:rFonts w:asciiTheme="minorHAnsi" w:hAnsiTheme="minorHAnsi"/>
          <w:b/>
          <w:i/>
          <w:sz w:val="22"/>
          <w:szCs w:val="22"/>
        </w:rPr>
        <w:t xml:space="preserve"> </w:t>
      </w:r>
      <w:r w:rsidR="009D51EC" w:rsidRPr="009D51EC">
        <w:rPr>
          <w:rFonts w:asciiTheme="minorHAnsi" w:hAnsiTheme="minorHAnsi"/>
          <w:i/>
          <w:sz w:val="22"/>
          <w:szCs w:val="22"/>
        </w:rPr>
        <w:t>(</w:t>
      </w:r>
      <w:proofErr w:type="spellStart"/>
      <w:r w:rsidR="009D51EC" w:rsidRPr="009D51EC">
        <w:rPr>
          <w:rFonts w:asciiTheme="minorHAnsi" w:hAnsiTheme="minorHAnsi"/>
          <w:i/>
          <w:sz w:val="22"/>
          <w:szCs w:val="22"/>
        </w:rPr>
        <w:t>Grafikon</w:t>
      </w:r>
      <w:proofErr w:type="spellEnd"/>
      <w:r w:rsidR="009D51EC" w:rsidRPr="009D51EC">
        <w:rPr>
          <w:rFonts w:asciiTheme="minorHAnsi" w:hAnsiTheme="minorHAnsi"/>
          <w:i/>
          <w:sz w:val="22"/>
          <w:szCs w:val="22"/>
        </w:rPr>
        <w:t xml:space="preserve"> </w:t>
      </w:r>
      <w:r w:rsidR="00061868">
        <w:rPr>
          <w:rFonts w:asciiTheme="minorHAnsi" w:hAnsiTheme="minorHAnsi"/>
          <w:i/>
          <w:sz w:val="22"/>
          <w:szCs w:val="22"/>
        </w:rPr>
        <w:t>7</w:t>
      </w:r>
      <w:r w:rsidR="009D51EC" w:rsidRPr="009D51EC">
        <w:rPr>
          <w:rFonts w:asciiTheme="minorHAnsi" w:hAnsiTheme="minorHAnsi"/>
          <w:i/>
          <w:sz w:val="22"/>
          <w:szCs w:val="22"/>
        </w:rPr>
        <w:t>.)</w:t>
      </w:r>
      <w:r w:rsidR="00765481" w:rsidRPr="009D51EC">
        <w:rPr>
          <w:rFonts w:asciiTheme="minorHAnsi" w:hAnsiTheme="minorHAnsi"/>
          <w:i/>
          <w:sz w:val="22"/>
          <w:szCs w:val="22"/>
        </w:rPr>
        <w:t>.</w:t>
      </w:r>
      <w:r w:rsidR="00765481" w:rsidRPr="006E6E5B">
        <w:rPr>
          <w:rFonts w:asciiTheme="minorHAnsi" w:hAnsiTheme="minorHAnsi"/>
          <w:sz w:val="22"/>
          <w:szCs w:val="22"/>
        </w:rPr>
        <w:t xml:space="preserve"> </w:t>
      </w:r>
      <w:proofErr w:type="spellStart"/>
      <w:r w:rsidR="00765481" w:rsidRPr="006E6E5B">
        <w:rPr>
          <w:rFonts w:asciiTheme="minorHAnsi" w:hAnsiTheme="minorHAnsi"/>
          <w:sz w:val="22"/>
          <w:szCs w:val="22"/>
        </w:rPr>
        <w:t>Podaci</w:t>
      </w:r>
      <w:proofErr w:type="spellEnd"/>
      <w:r w:rsidR="00765481" w:rsidRPr="006E6E5B">
        <w:rPr>
          <w:rFonts w:asciiTheme="minorHAnsi" w:hAnsiTheme="minorHAnsi"/>
          <w:sz w:val="22"/>
          <w:szCs w:val="22"/>
        </w:rPr>
        <w:t xml:space="preserve"> </w:t>
      </w:r>
      <w:proofErr w:type="spellStart"/>
      <w:r w:rsidR="00765481" w:rsidRPr="006E6E5B">
        <w:rPr>
          <w:rFonts w:asciiTheme="minorHAnsi" w:hAnsiTheme="minorHAnsi"/>
          <w:sz w:val="22"/>
          <w:szCs w:val="22"/>
        </w:rPr>
        <w:t>na</w:t>
      </w:r>
      <w:proofErr w:type="spellEnd"/>
      <w:r w:rsidR="00765481" w:rsidRPr="006E6E5B">
        <w:rPr>
          <w:rFonts w:asciiTheme="minorHAnsi" w:hAnsiTheme="minorHAnsi"/>
          <w:sz w:val="22"/>
          <w:szCs w:val="22"/>
        </w:rPr>
        <w:t xml:space="preserve"> </w:t>
      </w:r>
      <w:proofErr w:type="spellStart"/>
      <w:r w:rsidR="00765481" w:rsidRPr="006E6E5B">
        <w:rPr>
          <w:rFonts w:asciiTheme="minorHAnsi" w:hAnsiTheme="minorHAnsi"/>
          <w:sz w:val="22"/>
          <w:szCs w:val="22"/>
        </w:rPr>
        <w:t>godišnjem</w:t>
      </w:r>
      <w:proofErr w:type="spellEnd"/>
      <w:r w:rsidR="00765481" w:rsidRPr="006E6E5B">
        <w:rPr>
          <w:rFonts w:asciiTheme="minorHAnsi" w:hAnsiTheme="minorHAnsi"/>
          <w:sz w:val="22"/>
          <w:szCs w:val="22"/>
        </w:rPr>
        <w:t xml:space="preserve"> </w:t>
      </w:r>
      <w:proofErr w:type="spellStart"/>
      <w:r w:rsidR="00765481" w:rsidRPr="006E6E5B">
        <w:rPr>
          <w:rFonts w:asciiTheme="minorHAnsi" w:hAnsiTheme="minorHAnsi"/>
          <w:sz w:val="22"/>
          <w:szCs w:val="22"/>
        </w:rPr>
        <w:t>nivou</w:t>
      </w:r>
      <w:proofErr w:type="spellEnd"/>
      <w:r w:rsidR="00765481" w:rsidRPr="006E6E5B">
        <w:rPr>
          <w:rFonts w:asciiTheme="minorHAnsi" w:hAnsiTheme="minorHAnsi"/>
          <w:sz w:val="22"/>
          <w:szCs w:val="22"/>
        </w:rPr>
        <w:t xml:space="preserve"> </w:t>
      </w:r>
      <w:proofErr w:type="spellStart"/>
      <w:r w:rsidR="00765481" w:rsidRPr="006E6E5B">
        <w:rPr>
          <w:rFonts w:asciiTheme="minorHAnsi" w:hAnsiTheme="minorHAnsi"/>
          <w:sz w:val="22"/>
          <w:szCs w:val="22"/>
        </w:rPr>
        <w:t>fluktuiraju</w:t>
      </w:r>
      <w:proofErr w:type="spellEnd"/>
      <w:r w:rsidR="00061868">
        <w:rPr>
          <w:rFonts w:asciiTheme="minorHAnsi" w:hAnsiTheme="minorHAnsi"/>
          <w:sz w:val="22"/>
          <w:szCs w:val="22"/>
        </w:rPr>
        <w:t xml:space="preserve">, </w:t>
      </w:r>
      <w:proofErr w:type="spellStart"/>
      <w:r w:rsidR="00061868">
        <w:rPr>
          <w:rFonts w:asciiTheme="minorHAnsi" w:hAnsiTheme="minorHAnsi"/>
          <w:sz w:val="22"/>
          <w:szCs w:val="22"/>
        </w:rPr>
        <w:t>nekada</w:t>
      </w:r>
      <w:proofErr w:type="spellEnd"/>
      <w:r w:rsidR="00061868">
        <w:rPr>
          <w:rFonts w:asciiTheme="minorHAnsi" w:hAnsiTheme="minorHAnsi"/>
          <w:sz w:val="22"/>
          <w:szCs w:val="22"/>
        </w:rPr>
        <w:t xml:space="preserve"> </w:t>
      </w:r>
      <w:proofErr w:type="spellStart"/>
      <w:r w:rsidR="00061868">
        <w:rPr>
          <w:rFonts w:asciiTheme="minorHAnsi" w:hAnsiTheme="minorHAnsi"/>
          <w:sz w:val="22"/>
          <w:szCs w:val="22"/>
        </w:rPr>
        <w:t>čak</w:t>
      </w:r>
      <w:proofErr w:type="spellEnd"/>
      <w:r w:rsidR="00061868">
        <w:rPr>
          <w:rFonts w:asciiTheme="minorHAnsi" w:hAnsiTheme="minorHAnsi"/>
          <w:sz w:val="22"/>
          <w:szCs w:val="22"/>
        </w:rPr>
        <w:t xml:space="preserve"> </w:t>
      </w:r>
      <w:proofErr w:type="spellStart"/>
      <w:r w:rsidR="00061868">
        <w:rPr>
          <w:rFonts w:asciiTheme="minorHAnsi" w:hAnsiTheme="minorHAnsi"/>
          <w:sz w:val="22"/>
          <w:szCs w:val="22"/>
        </w:rPr>
        <w:t>prelaze</w:t>
      </w:r>
      <w:proofErr w:type="spellEnd"/>
      <w:r w:rsidR="00061868">
        <w:rPr>
          <w:rFonts w:asciiTheme="minorHAnsi" w:hAnsiTheme="minorHAnsi"/>
          <w:sz w:val="22"/>
          <w:szCs w:val="22"/>
        </w:rPr>
        <w:t xml:space="preserve"> </w:t>
      </w:r>
      <w:proofErr w:type="spellStart"/>
      <w:r w:rsidR="00061868">
        <w:rPr>
          <w:rFonts w:asciiTheme="minorHAnsi" w:hAnsiTheme="minorHAnsi"/>
          <w:sz w:val="22"/>
          <w:szCs w:val="22"/>
        </w:rPr>
        <w:t>i</w:t>
      </w:r>
      <w:proofErr w:type="spellEnd"/>
      <w:r w:rsidR="00061868">
        <w:rPr>
          <w:rFonts w:asciiTheme="minorHAnsi" w:hAnsiTheme="minorHAnsi"/>
          <w:sz w:val="22"/>
          <w:szCs w:val="22"/>
        </w:rPr>
        <w:t xml:space="preserve"> </w:t>
      </w:r>
      <w:proofErr w:type="spellStart"/>
      <w:r w:rsidR="00061868">
        <w:rPr>
          <w:rFonts w:asciiTheme="minorHAnsi" w:hAnsiTheme="minorHAnsi"/>
          <w:sz w:val="22"/>
          <w:szCs w:val="22"/>
        </w:rPr>
        <w:t>vrednost</w:t>
      </w:r>
      <w:proofErr w:type="spellEnd"/>
      <w:r w:rsidR="00061868">
        <w:rPr>
          <w:rFonts w:asciiTheme="minorHAnsi" w:hAnsiTheme="minorHAnsi"/>
          <w:sz w:val="22"/>
          <w:szCs w:val="22"/>
        </w:rPr>
        <w:t xml:space="preserve"> od 100% a u </w:t>
      </w:r>
      <w:proofErr w:type="spellStart"/>
      <w:r w:rsidR="00061868">
        <w:rPr>
          <w:rFonts w:asciiTheme="minorHAnsi" w:hAnsiTheme="minorHAnsi"/>
          <w:sz w:val="22"/>
          <w:szCs w:val="22"/>
        </w:rPr>
        <w:t>nekim</w:t>
      </w:r>
      <w:proofErr w:type="spellEnd"/>
      <w:r w:rsidR="00061868">
        <w:rPr>
          <w:rFonts w:asciiTheme="minorHAnsi" w:hAnsiTheme="minorHAnsi"/>
          <w:sz w:val="22"/>
          <w:szCs w:val="22"/>
        </w:rPr>
        <w:t xml:space="preserve"> </w:t>
      </w:r>
      <w:proofErr w:type="spellStart"/>
      <w:r w:rsidR="00061868">
        <w:rPr>
          <w:rFonts w:asciiTheme="minorHAnsi" w:hAnsiTheme="minorHAnsi"/>
          <w:sz w:val="22"/>
          <w:szCs w:val="22"/>
        </w:rPr>
        <w:t>godinama</w:t>
      </w:r>
      <w:proofErr w:type="spellEnd"/>
      <w:r w:rsidR="00061868">
        <w:rPr>
          <w:rFonts w:asciiTheme="minorHAnsi" w:hAnsiTheme="minorHAnsi"/>
          <w:sz w:val="22"/>
          <w:szCs w:val="22"/>
        </w:rPr>
        <w:t xml:space="preserve"> </w:t>
      </w:r>
      <w:proofErr w:type="spellStart"/>
      <w:r w:rsidR="00061868">
        <w:rPr>
          <w:rFonts w:asciiTheme="minorHAnsi" w:hAnsiTheme="minorHAnsi"/>
          <w:sz w:val="22"/>
          <w:szCs w:val="22"/>
        </w:rPr>
        <w:t>su</w:t>
      </w:r>
      <w:proofErr w:type="spellEnd"/>
      <w:r w:rsidR="00061868">
        <w:rPr>
          <w:rFonts w:asciiTheme="minorHAnsi" w:hAnsiTheme="minorHAnsi"/>
          <w:sz w:val="22"/>
          <w:szCs w:val="22"/>
        </w:rPr>
        <w:t xml:space="preserve"> </w:t>
      </w:r>
      <w:proofErr w:type="spellStart"/>
      <w:r w:rsidR="00061868">
        <w:rPr>
          <w:rFonts w:asciiTheme="minorHAnsi" w:hAnsiTheme="minorHAnsi"/>
          <w:sz w:val="22"/>
          <w:szCs w:val="22"/>
        </w:rPr>
        <w:t>izuzetno</w:t>
      </w:r>
      <w:proofErr w:type="spellEnd"/>
      <w:r w:rsidR="00061868">
        <w:rPr>
          <w:rFonts w:asciiTheme="minorHAnsi" w:hAnsiTheme="minorHAnsi"/>
          <w:sz w:val="22"/>
          <w:szCs w:val="22"/>
        </w:rPr>
        <w:t xml:space="preserve"> </w:t>
      </w:r>
      <w:proofErr w:type="spellStart"/>
      <w:r w:rsidR="00061868">
        <w:rPr>
          <w:rFonts w:asciiTheme="minorHAnsi" w:hAnsiTheme="minorHAnsi"/>
          <w:sz w:val="22"/>
          <w:szCs w:val="22"/>
        </w:rPr>
        <w:t>niske</w:t>
      </w:r>
      <w:proofErr w:type="spellEnd"/>
      <w:r w:rsidR="00061868">
        <w:rPr>
          <w:rFonts w:asciiTheme="minorHAnsi" w:hAnsiTheme="minorHAnsi"/>
          <w:sz w:val="22"/>
          <w:szCs w:val="22"/>
        </w:rPr>
        <w:t xml:space="preserve"> </w:t>
      </w:r>
      <w:proofErr w:type="spellStart"/>
      <w:r w:rsidR="00061868">
        <w:rPr>
          <w:rFonts w:asciiTheme="minorHAnsi" w:hAnsiTheme="minorHAnsi"/>
          <w:sz w:val="22"/>
          <w:szCs w:val="22"/>
        </w:rPr>
        <w:t>vrednosti</w:t>
      </w:r>
      <w:proofErr w:type="spellEnd"/>
      <w:r w:rsidR="00061868">
        <w:rPr>
          <w:rFonts w:asciiTheme="minorHAnsi" w:hAnsiTheme="minorHAnsi"/>
          <w:sz w:val="22"/>
          <w:szCs w:val="22"/>
        </w:rPr>
        <w:t>,</w:t>
      </w:r>
      <w:r w:rsidR="00765481" w:rsidRPr="006E6E5B">
        <w:rPr>
          <w:rFonts w:asciiTheme="minorHAnsi" w:hAnsiTheme="minorHAnsi"/>
          <w:sz w:val="22"/>
          <w:szCs w:val="22"/>
        </w:rPr>
        <w:t xml:space="preserve"> pa je </w:t>
      </w:r>
      <w:proofErr w:type="spellStart"/>
      <w:r w:rsidR="00765481" w:rsidRPr="006E6E5B">
        <w:rPr>
          <w:rFonts w:asciiTheme="minorHAnsi" w:hAnsiTheme="minorHAnsi"/>
          <w:sz w:val="22"/>
          <w:szCs w:val="22"/>
        </w:rPr>
        <w:t>stoga</w:t>
      </w:r>
      <w:proofErr w:type="spellEnd"/>
      <w:r w:rsidR="00765481" w:rsidRPr="006E6E5B">
        <w:rPr>
          <w:rFonts w:asciiTheme="minorHAnsi" w:hAnsiTheme="minorHAnsi"/>
          <w:sz w:val="22"/>
          <w:szCs w:val="22"/>
        </w:rPr>
        <w:t xml:space="preserve"> </w:t>
      </w:r>
      <w:proofErr w:type="spellStart"/>
      <w:r w:rsidR="00765481" w:rsidRPr="006E6E5B">
        <w:rPr>
          <w:rFonts w:asciiTheme="minorHAnsi" w:hAnsiTheme="minorHAnsi"/>
          <w:sz w:val="22"/>
          <w:szCs w:val="22"/>
        </w:rPr>
        <w:t>analiziran</w:t>
      </w:r>
      <w:proofErr w:type="spellEnd"/>
      <w:r w:rsidR="00765481" w:rsidRPr="006E6E5B">
        <w:rPr>
          <w:rFonts w:asciiTheme="minorHAnsi" w:hAnsiTheme="minorHAnsi"/>
          <w:sz w:val="22"/>
          <w:szCs w:val="22"/>
        </w:rPr>
        <w:t xml:space="preserve"> </w:t>
      </w:r>
      <w:proofErr w:type="spellStart"/>
      <w:r w:rsidR="00765481" w:rsidRPr="006E6E5B">
        <w:rPr>
          <w:rFonts w:asciiTheme="minorHAnsi" w:hAnsiTheme="minorHAnsi"/>
          <w:sz w:val="22"/>
          <w:szCs w:val="22"/>
        </w:rPr>
        <w:t>petogodišnji</w:t>
      </w:r>
      <w:proofErr w:type="spellEnd"/>
      <w:r w:rsidR="00061868">
        <w:rPr>
          <w:rFonts w:asciiTheme="minorHAnsi" w:hAnsiTheme="minorHAnsi"/>
          <w:sz w:val="22"/>
          <w:szCs w:val="22"/>
        </w:rPr>
        <w:t xml:space="preserve">. </w:t>
      </w:r>
      <w:proofErr w:type="spellStart"/>
      <w:r w:rsidR="00061868">
        <w:rPr>
          <w:rFonts w:asciiTheme="minorHAnsi" w:hAnsiTheme="minorHAnsi"/>
          <w:sz w:val="22"/>
          <w:szCs w:val="22"/>
        </w:rPr>
        <w:t>Jedno</w:t>
      </w:r>
      <w:proofErr w:type="spellEnd"/>
      <w:r w:rsidR="00061868">
        <w:rPr>
          <w:rFonts w:asciiTheme="minorHAnsi" w:hAnsiTheme="minorHAnsi"/>
          <w:sz w:val="22"/>
          <w:szCs w:val="22"/>
        </w:rPr>
        <w:t xml:space="preserve"> od </w:t>
      </w:r>
      <w:proofErr w:type="spellStart"/>
      <w:r w:rsidR="00061868">
        <w:rPr>
          <w:rFonts w:asciiTheme="minorHAnsi" w:hAnsiTheme="minorHAnsi"/>
          <w:sz w:val="22"/>
          <w:szCs w:val="22"/>
        </w:rPr>
        <w:t>objašnjenja</w:t>
      </w:r>
      <w:proofErr w:type="spellEnd"/>
      <w:r w:rsidR="00061868">
        <w:rPr>
          <w:rFonts w:asciiTheme="minorHAnsi" w:hAnsiTheme="minorHAnsi"/>
          <w:sz w:val="22"/>
          <w:szCs w:val="22"/>
        </w:rPr>
        <w:t xml:space="preserve"> </w:t>
      </w:r>
      <w:proofErr w:type="spellStart"/>
      <w:r w:rsidR="00061868">
        <w:rPr>
          <w:rFonts w:asciiTheme="minorHAnsi" w:hAnsiTheme="minorHAnsi"/>
          <w:sz w:val="22"/>
          <w:szCs w:val="22"/>
        </w:rPr>
        <w:t>ovakvih</w:t>
      </w:r>
      <w:proofErr w:type="spellEnd"/>
      <w:r w:rsidR="00061868">
        <w:rPr>
          <w:rFonts w:asciiTheme="minorHAnsi" w:hAnsiTheme="minorHAnsi"/>
          <w:sz w:val="22"/>
          <w:szCs w:val="22"/>
        </w:rPr>
        <w:t xml:space="preserve"> </w:t>
      </w:r>
      <w:proofErr w:type="spellStart"/>
      <w:r w:rsidR="00061868">
        <w:rPr>
          <w:rFonts w:asciiTheme="minorHAnsi" w:hAnsiTheme="minorHAnsi"/>
          <w:sz w:val="22"/>
          <w:szCs w:val="22"/>
        </w:rPr>
        <w:t>podataka</w:t>
      </w:r>
      <w:proofErr w:type="spellEnd"/>
      <w:r w:rsidR="00061868">
        <w:rPr>
          <w:rFonts w:asciiTheme="minorHAnsi" w:hAnsiTheme="minorHAnsi"/>
          <w:sz w:val="22"/>
          <w:szCs w:val="22"/>
        </w:rPr>
        <w:t xml:space="preserve"> </w:t>
      </w:r>
      <w:proofErr w:type="spellStart"/>
      <w:r w:rsidR="00061868">
        <w:rPr>
          <w:rFonts w:asciiTheme="minorHAnsi" w:hAnsiTheme="minorHAnsi"/>
          <w:sz w:val="22"/>
          <w:szCs w:val="22"/>
        </w:rPr>
        <w:t>može</w:t>
      </w:r>
      <w:proofErr w:type="spellEnd"/>
      <w:r w:rsidR="00061868">
        <w:rPr>
          <w:rFonts w:asciiTheme="minorHAnsi" w:hAnsiTheme="minorHAnsi"/>
          <w:sz w:val="22"/>
          <w:szCs w:val="22"/>
        </w:rPr>
        <w:t xml:space="preserve"> </w:t>
      </w:r>
      <w:proofErr w:type="spellStart"/>
      <w:r w:rsidR="00061868">
        <w:rPr>
          <w:rFonts w:asciiTheme="minorHAnsi" w:hAnsiTheme="minorHAnsi"/>
          <w:sz w:val="22"/>
          <w:szCs w:val="22"/>
        </w:rPr>
        <w:t>biti</w:t>
      </w:r>
      <w:proofErr w:type="spellEnd"/>
      <w:r w:rsidR="00061868">
        <w:rPr>
          <w:rFonts w:asciiTheme="minorHAnsi" w:hAnsiTheme="minorHAnsi"/>
          <w:sz w:val="22"/>
          <w:szCs w:val="22"/>
        </w:rPr>
        <w:t xml:space="preserve"> </w:t>
      </w:r>
      <w:proofErr w:type="spellStart"/>
      <w:r w:rsidR="00061868">
        <w:rPr>
          <w:rFonts w:asciiTheme="minorHAnsi" w:hAnsiTheme="minorHAnsi"/>
          <w:sz w:val="22"/>
          <w:szCs w:val="22"/>
        </w:rPr>
        <w:t>učestalo</w:t>
      </w:r>
      <w:proofErr w:type="spellEnd"/>
      <w:r w:rsidR="00061868">
        <w:rPr>
          <w:rFonts w:asciiTheme="minorHAnsi" w:hAnsiTheme="minorHAnsi"/>
          <w:sz w:val="22"/>
          <w:szCs w:val="22"/>
        </w:rPr>
        <w:t xml:space="preserve"> </w:t>
      </w:r>
      <w:proofErr w:type="spellStart"/>
      <w:r w:rsidR="00061868">
        <w:rPr>
          <w:rFonts w:asciiTheme="minorHAnsi" w:hAnsiTheme="minorHAnsi"/>
          <w:sz w:val="22"/>
          <w:szCs w:val="22"/>
        </w:rPr>
        <w:t>ponavljanje</w:t>
      </w:r>
      <w:proofErr w:type="spellEnd"/>
      <w:r w:rsidR="00061868">
        <w:rPr>
          <w:rFonts w:asciiTheme="minorHAnsi" w:hAnsiTheme="minorHAnsi"/>
          <w:sz w:val="22"/>
          <w:szCs w:val="22"/>
        </w:rPr>
        <w:t xml:space="preserve"> </w:t>
      </w:r>
      <w:proofErr w:type="spellStart"/>
      <w:r w:rsidR="00061868">
        <w:rPr>
          <w:rFonts w:asciiTheme="minorHAnsi" w:hAnsiTheme="minorHAnsi"/>
          <w:sz w:val="22"/>
          <w:szCs w:val="22"/>
        </w:rPr>
        <w:t>razreda</w:t>
      </w:r>
      <w:proofErr w:type="spellEnd"/>
      <w:r w:rsidR="00061868">
        <w:rPr>
          <w:rFonts w:asciiTheme="minorHAnsi" w:hAnsiTheme="minorHAnsi"/>
          <w:sz w:val="22"/>
          <w:szCs w:val="22"/>
        </w:rPr>
        <w:t xml:space="preserve">. </w:t>
      </w:r>
      <w:r w:rsidR="009D5C9A">
        <w:rPr>
          <w:rFonts w:asciiTheme="minorHAnsi" w:hAnsiTheme="minorHAnsi"/>
          <w:sz w:val="22"/>
          <w:szCs w:val="22"/>
        </w:rPr>
        <w:t xml:space="preserve"> </w:t>
      </w:r>
    </w:p>
    <w:p w14:paraId="4D641115" w14:textId="7F6AB4CA" w:rsidR="006C0D54" w:rsidRDefault="006C0D54" w:rsidP="00DB5D24">
      <w:pPr>
        <w:rPr>
          <w:rFonts w:asciiTheme="minorHAnsi" w:hAnsiTheme="minorHAnsi"/>
          <w:b/>
          <w:smallCaps/>
        </w:rPr>
      </w:pPr>
    </w:p>
    <w:p w14:paraId="3BA6A83D" w14:textId="0390F392" w:rsidR="008E333C" w:rsidRDefault="008E333C" w:rsidP="00DB5D24">
      <w:pPr>
        <w:rPr>
          <w:rFonts w:asciiTheme="minorHAnsi" w:hAnsiTheme="minorHAnsi"/>
          <w:b/>
          <w:smallCaps/>
        </w:rPr>
      </w:pPr>
    </w:p>
    <w:p w14:paraId="6ADCDF7C" w14:textId="367681C6" w:rsidR="008E333C" w:rsidRDefault="008E333C" w:rsidP="00DB5D24">
      <w:pPr>
        <w:rPr>
          <w:rFonts w:asciiTheme="minorHAnsi" w:hAnsiTheme="minorHAnsi"/>
          <w:b/>
          <w:smallCaps/>
        </w:rPr>
      </w:pPr>
    </w:p>
    <w:p w14:paraId="7B5D47CB" w14:textId="5AB6BE07" w:rsidR="008E333C" w:rsidRDefault="008E333C" w:rsidP="00DB5D24">
      <w:pPr>
        <w:rPr>
          <w:rFonts w:asciiTheme="minorHAnsi" w:hAnsiTheme="minorHAnsi"/>
          <w:b/>
          <w:smallCaps/>
        </w:rPr>
      </w:pPr>
    </w:p>
    <w:p w14:paraId="2FA50A6E" w14:textId="698DE969" w:rsidR="00061868" w:rsidRDefault="00061868" w:rsidP="00DB5D24">
      <w:pPr>
        <w:rPr>
          <w:rFonts w:asciiTheme="minorHAnsi" w:hAnsiTheme="minorHAnsi"/>
          <w:b/>
          <w:smallCaps/>
        </w:rPr>
      </w:pPr>
    </w:p>
    <w:p w14:paraId="04405DFB" w14:textId="34620AD3" w:rsidR="00061868" w:rsidRDefault="00061868" w:rsidP="00DB5D24">
      <w:pPr>
        <w:rPr>
          <w:rFonts w:asciiTheme="minorHAnsi" w:hAnsiTheme="minorHAnsi"/>
          <w:b/>
          <w:smallCaps/>
        </w:rPr>
      </w:pPr>
    </w:p>
    <w:p w14:paraId="304613AD" w14:textId="77777777" w:rsidR="00061868" w:rsidRDefault="00061868" w:rsidP="00DB5D24">
      <w:pPr>
        <w:rPr>
          <w:rFonts w:asciiTheme="minorHAnsi" w:hAnsiTheme="minorHAnsi"/>
          <w:b/>
          <w:smallCaps/>
        </w:rPr>
      </w:pPr>
    </w:p>
    <w:p w14:paraId="140448A9" w14:textId="03643698" w:rsidR="008E333C" w:rsidRDefault="008E333C" w:rsidP="00DB5D24">
      <w:pPr>
        <w:rPr>
          <w:rFonts w:asciiTheme="minorHAnsi" w:hAnsiTheme="minorHAnsi"/>
          <w:b/>
          <w:smallCaps/>
        </w:rPr>
      </w:pPr>
    </w:p>
    <w:p w14:paraId="368F055D" w14:textId="77777777" w:rsidR="008E333C" w:rsidRDefault="008E333C" w:rsidP="00DB5D24">
      <w:pPr>
        <w:rPr>
          <w:rFonts w:asciiTheme="minorHAnsi" w:hAnsiTheme="minorHAnsi"/>
          <w:b/>
          <w:smallCaps/>
        </w:rPr>
      </w:pPr>
    </w:p>
    <w:p w14:paraId="47460B08" w14:textId="42B45C4C" w:rsidR="004660A9" w:rsidRDefault="00342776" w:rsidP="00DB5D24">
      <w:pPr>
        <w:rPr>
          <w:rFonts w:asciiTheme="minorHAnsi" w:hAnsiTheme="minorHAnsi"/>
          <w:b/>
        </w:rPr>
      </w:pPr>
      <w:r>
        <w:rPr>
          <w:rFonts w:asciiTheme="minorHAnsi" w:hAnsiTheme="minorHAnsi"/>
          <w:b/>
        </w:rPr>
        <w:t>Grafikon</w:t>
      </w:r>
      <w:r w:rsidR="00061868">
        <w:rPr>
          <w:rFonts w:asciiTheme="minorHAnsi" w:hAnsiTheme="minorHAnsi"/>
          <w:b/>
        </w:rPr>
        <w:t>7</w:t>
      </w:r>
      <w:r>
        <w:rPr>
          <w:rFonts w:asciiTheme="minorHAnsi" w:hAnsiTheme="minorHAnsi"/>
          <w:b/>
        </w:rPr>
        <w:t xml:space="preserve">. </w:t>
      </w:r>
      <w:proofErr w:type="spellStart"/>
      <w:r>
        <w:rPr>
          <w:rFonts w:asciiTheme="minorHAnsi" w:hAnsiTheme="minorHAnsi"/>
          <w:b/>
        </w:rPr>
        <w:t>Stopa</w:t>
      </w:r>
      <w:proofErr w:type="spellEnd"/>
      <w:r>
        <w:rPr>
          <w:rFonts w:asciiTheme="minorHAnsi" w:hAnsiTheme="minorHAnsi"/>
          <w:b/>
        </w:rPr>
        <w:t xml:space="preserve"> </w:t>
      </w:r>
      <w:proofErr w:type="spellStart"/>
      <w:r>
        <w:rPr>
          <w:rFonts w:asciiTheme="minorHAnsi" w:hAnsiTheme="minorHAnsi"/>
          <w:b/>
        </w:rPr>
        <w:t>završavanja</w:t>
      </w:r>
      <w:proofErr w:type="spellEnd"/>
      <w:r>
        <w:rPr>
          <w:rFonts w:asciiTheme="minorHAnsi" w:hAnsiTheme="minorHAnsi"/>
          <w:b/>
        </w:rPr>
        <w:t xml:space="preserve"> </w:t>
      </w:r>
      <w:proofErr w:type="spellStart"/>
      <w:r>
        <w:rPr>
          <w:rFonts w:asciiTheme="minorHAnsi" w:hAnsiTheme="minorHAnsi"/>
          <w:b/>
        </w:rPr>
        <w:t>osnovne</w:t>
      </w:r>
      <w:proofErr w:type="spellEnd"/>
      <w:r>
        <w:rPr>
          <w:rFonts w:asciiTheme="minorHAnsi" w:hAnsiTheme="minorHAnsi"/>
          <w:b/>
        </w:rPr>
        <w:t xml:space="preserve"> </w:t>
      </w:r>
      <w:proofErr w:type="spellStart"/>
      <w:r>
        <w:rPr>
          <w:rFonts w:asciiTheme="minorHAnsi" w:hAnsiTheme="minorHAnsi"/>
          <w:b/>
        </w:rPr>
        <w:t>škole</w:t>
      </w:r>
      <w:proofErr w:type="spellEnd"/>
      <w:r w:rsidR="003E606F">
        <w:rPr>
          <w:rFonts w:asciiTheme="minorHAnsi" w:hAnsiTheme="minorHAnsi"/>
          <w:b/>
        </w:rPr>
        <w:t xml:space="preserve">, </w:t>
      </w:r>
      <w:proofErr w:type="spellStart"/>
      <w:r w:rsidR="003E606F">
        <w:rPr>
          <w:rFonts w:asciiTheme="minorHAnsi" w:hAnsiTheme="minorHAnsi"/>
          <w:b/>
        </w:rPr>
        <w:t>prosek</w:t>
      </w:r>
      <w:proofErr w:type="spellEnd"/>
      <w:r w:rsidR="003E606F">
        <w:rPr>
          <w:rFonts w:asciiTheme="minorHAnsi" w:hAnsiTheme="minorHAnsi"/>
          <w:b/>
        </w:rPr>
        <w:t xml:space="preserve"> 2015-2019 </w:t>
      </w:r>
      <w:proofErr w:type="spellStart"/>
      <w:r w:rsidR="003E606F">
        <w:rPr>
          <w:rFonts w:asciiTheme="minorHAnsi" w:hAnsiTheme="minorHAnsi"/>
          <w:b/>
        </w:rPr>
        <w:t>godina</w:t>
      </w:r>
      <w:proofErr w:type="spellEnd"/>
    </w:p>
    <w:p w14:paraId="3DCCF5E2" w14:textId="481AADCA" w:rsidR="00342776" w:rsidRPr="003E606F" w:rsidRDefault="00074E62" w:rsidP="00342776">
      <w:pPr>
        <w:rPr>
          <w:rFonts w:asciiTheme="minorHAnsi" w:hAnsiTheme="minorHAnsi"/>
          <w:b/>
        </w:rPr>
      </w:pPr>
      <w:r>
        <w:rPr>
          <w:noProof/>
        </w:rPr>
        <w:drawing>
          <wp:inline distT="0" distB="0" distL="0" distR="0" wp14:anchorId="428A09AE" wp14:editId="44A2363F">
            <wp:extent cx="4572000" cy="2755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72000" cy="2755900"/>
                    </a:xfrm>
                    <a:prstGeom prst="rect">
                      <a:avLst/>
                    </a:prstGeom>
                  </pic:spPr>
                </pic:pic>
              </a:graphicData>
            </a:graphic>
          </wp:inline>
        </w:drawing>
      </w:r>
    </w:p>
    <w:p w14:paraId="7B01B724" w14:textId="01335B30" w:rsidR="00342776" w:rsidRDefault="00342776" w:rsidP="00342776">
      <w:pPr>
        <w:rPr>
          <w:rFonts w:asciiTheme="minorHAnsi" w:hAnsiTheme="minorHAnsi"/>
          <w:sz w:val="18"/>
          <w:szCs w:val="18"/>
        </w:rPr>
      </w:pPr>
      <w:proofErr w:type="spellStart"/>
      <w:r w:rsidRPr="002D6D78">
        <w:rPr>
          <w:rFonts w:asciiTheme="minorHAnsi" w:hAnsiTheme="minorHAnsi"/>
          <w:sz w:val="18"/>
          <w:szCs w:val="18"/>
        </w:rPr>
        <w:t>Izvor</w:t>
      </w:r>
      <w:proofErr w:type="spellEnd"/>
      <w:r w:rsidRPr="002D6D78">
        <w:rPr>
          <w:rFonts w:asciiTheme="minorHAnsi" w:hAnsiTheme="minorHAnsi"/>
          <w:sz w:val="18"/>
          <w:szCs w:val="18"/>
        </w:rPr>
        <w:t xml:space="preserve">: </w:t>
      </w:r>
      <w:proofErr w:type="spellStart"/>
      <w:r w:rsidRPr="002D6D78">
        <w:rPr>
          <w:rFonts w:asciiTheme="minorHAnsi" w:hAnsiTheme="minorHAnsi"/>
          <w:sz w:val="18"/>
          <w:szCs w:val="18"/>
        </w:rPr>
        <w:t>Devinfo</w:t>
      </w:r>
      <w:proofErr w:type="spellEnd"/>
      <w:r w:rsidRPr="002D6D78">
        <w:rPr>
          <w:rFonts w:asciiTheme="minorHAnsi" w:hAnsiTheme="minorHAnsi"/>
          <w:sz w:val="18"/>
          <w:szCs w:val="18"/>
        </w:rPr>
        <w:t xml:space="preserve"> </w:t>
      </w:r>
      <w:proofErr w:type="spellStart"/>
      <w:r w:rsidRPr="002D6D78">
        <w:rPr>
          <w:rFonts w:asciiTheme="minorHAnsi" w:hAnsiTheme="minorHAnsi"/>
          <w:sz w:val="18"/>
          <w:szCs w:val="18"/>
        </w:rPr>
        <w:t>baza</w:t>
      </w:r>
      <w:proofErr w:type="spellEnd"/>
    </w:p>
    <w:p w14:paraId="5A898860" w14:textId="77777777" w:rsidR="00F31D38" w:rsidRDefault="00F31D38" w:rsidP="006C0D54">
      <w:pPr>
        <w:jc w:val="both"/>
        <w:textAlignment w:val="center"/>
        <w:rPr>
          <w:rFonts w:asciiTheme="minorHAnsi" w:hAnsiTheme="minorHAnsi"/>
          <w:i/>
          <w:u w:val="single"/>
        </w:rPr>
      </w:pPr>
    </w:p>
    <w:p w14:paraId="67A8DD0D" w14:textId="6C683CE0" w:rsidR="005B1322" w:rsidRDefault="005B1322" w:rsidP="006C0D54">
      <w:pPr>
        <w:jc w:val="both"/>
        <w:textAlignment w:val="center"/>
        <w:rPr>
          <w:rFonts w:asciiTheme="minorHAnsi" w:hAnsiTheme="minorHAnsi"/>
          <w:i/>
          <w:u w:val="single"/>
        </w:rPr>
      </w:pPr>
    </w:p>
    <w:p w14:paraId="75F45615" w14:textId="77777777" w:rsidR="00D906E6" w:rsidRDefault="00D906E6" w:rsidP="006C0D54">
      <w:pPr>
        <w:jc w:val="both"/>
        <w:textAlignment w:val="center"/>
        <w:rPr>
          <w:rFonts w:asciiTheme="minorHAnsi" w:hAnsiTheme="minorHAnsi"/>
          <w:i/>
          <w:u w:val="single"/>
        </w:rPr>
      </w:pPr>
    </w:p>
    <w:p w14:paraId="7F2B7FD6" w14:textId="40A727A6" w:rsidR="006C0D54" w:rsidRDefault="006C0D54" w:rsidP="006C0D54">
      <w:pPr>
        <w:jc w:val="both"/>
        <w:textAlignment w:val="center"/>
        <w:rPr>
          <w:rFonts w:asciiTheme="minorHAnsi" w:hAnsiTheme="minorHAnsi"/>
          <w:i/>
          <w:u w:val="single"/>
        </w:rPr>
      </w:pPr>
      <w:proofErr w:type="spellStart"/>
      <w:r>
        <w:rPr>
          <w:rFonts w:asciiTheme="minorHAnsi" w:hAnsiTheme="minorHAnsi"/>
          <w:i/>
          <w:u w:val="single"/>
        </w:rPr>
        <w:t>Srednje</w:t>
      </w:r>
      <w:proofErr w:type="spellEnd"/>
      <w:r>
        <w:rPr>
          <w:rFonts w:asciiTheme="minorHAnsi" w:hAnsiTheme="minorHAnsi"/>
          <w:i/>
          <w:u w:val="single"/>
        </w:rPr>
        <w:t xml:space="preserve"> </w:t>
      </w:r>
      <w:proofErr w:type="spellStart"/>
      <w:r w:rsidRPr="00D9414A">
        <w:rPr>
          <w:rFonts w:asciiTheme="minorHAnsi" w:hAnsiTheme="minorHAnsi"/>
          <w:i/>
          <w:u w:val="single"/>
        </w:rPr>
        <w:t>obrazovanje</w:t>
      </w:r>
      <w:proofErr w:type="spellEnd"/>
    </w:p>
    <w:p w14:paraId="243FE284" w14:textId="193C8C4D" w:rsidR="00D15CE4" w:rsidRPr="00793676" w:rsidRDefault="00D15CE4" w:rsidP="006C0D54">
      <w:pPr>
        <w:jc w:val="both"/>
        <w:textAlignment w:val="center"/>
        <w:rPr>
          <w:rFonts w:asciiTheme="minorHAnsi" w:hAnsiTheme="minorHAnsi"/>
          <w:b/>
          <w:i/>
          <w:u w:val="single"/>
        </w:rPr>
      </w:pPr>
    </w:p>
    <w:p w14:paraId="229ABBA2" w14:textId="41EE8B65" w:rsidR="00793676" w:rsidRPr="00793676" w:rsidRDefault="00793676" w:rsidP="00793676">
      <w:pPr>
        <w:pBdr>
          <w:top w:val="single" w:sz="4" w:space="1" w:color="auto"/>
          <w:left w:val="single" w:sz="4" w:space="4" w:color="auto"/>
          <w:bottom w:val="single" w:sz="4" w:space="1" w:color="auto"/>
          <w:right w:val="single" w:sz="4" w:space="4" w:color="auto"/>
        </w:pBdr>
        <w:adjustRightInd w:val="0"/>
        <w:snapToGrid w:val="0"/>
        <w:jc w:val="both"/>
        <w:rPr>
          <w:rFonts w:asciiTheme="minorHAnsi" w:hAnsiTheme="minorHAnsi"/>
          <w:b/>
          <w:smallCaps/>
          <w:sz w:val="22"/>
          <w:szCs w:val="22"/>
        </w:rPr>
      </w:pPr>
      <w:proofErr w:type="spellStart"/>
      <w:r w:rsidRPr="00793676">
        <w:rPr>
          <w:rFonts w:asciiTheme="minorHAnsi" w:hAnsiTheme="minorHAnsi"/>
          <w:b/>
          <w:smallCaps/>
          <w:sz w:val="22"/>
          <w:szCs w:val="22"/>
        </w:rPr>
        <w:t>Okvir</w:t>
      </w:r>
      <w:proofErr w:type="spellEnd"/>
      <w:r w:rsidRPr="00793676">
        <w:rPr>
          <w:rFonts w:asciiTheme="minorHAnsi" w:hAnsiTheme="minorHAnsi"/>
          <w:b/>
          <w:smallCaps/>
          <w:sz w:val="22"/>
          <w:szCs w:val="22"/>
        </w:rPr>
        <w:t xml:space="preserve"> 6. </w:t>
      </w:r>
      <w:proofErr w:type="spellStart"/>
      <w:r w:rsidRPr="00793676">
        <w:rPr>
          <w:rFonts w:asciiTheme="minorHAnsi" w:hAnsiTheme="minorHAnsi"/>
          <w:b/>
          <w:smallCaps/>
          <w:sz w:val="22"/>
          <w:szCs w:val="22"/>
        </w:rPr>
        <w:t>Strateški</w:t>
      </w:r>
      <w:proofErr w:type="spellEnd"/>
      <w:r w:rsidRPr="00793676">
        <w:rPr>
          <w:rFonts w:asciiTheme="minorHAnsi" w:hAnsiTheme="minorHAnsi"/>
          <w:b/>
          <w:smallCaps/>
          <w:sz w:val="22"/>
          <w:szCs w:val="22"/>
        </w:rPr>
        <w:t xml:space="preserve"> </w:t>
      </w:r>
      <w:proofErr w:type="spellStart"/>
      <w:r w:rsidRPr="00793676">
        <w:rPr>
          <w:rFonts w:asciiTheme="minorHAnsi" w:hAnsiTheme="minorHAnsi"/>
          <w:b/>
          <w:smallCaps/>
          <w:sz w:val="22"/>
          <w:szCs w:val="22"/>
        </w:rPr>
        <w:t>pravci</w:t>
      </w:r>
      <w:proofErr w:type="spellEnd"/>
      <w:r w:rsidRPr="00793676">
        <w:rPr>
          <w:rFonts w:asciiTheme="minorHAnsi" w:hAnsiTheme="minorHAnsi"/>
          <w:b/>
          <w:smallCaps/>
          <w:sz w:val="22"/>
          <w:szCs w:val="22"/>
        </w:rPr>
        <w:t xml:space="preserve"> u </w:t>
      </w:r>
      <w:proofErr w:type="spellStart"/>
      <w:r w:rsidRPr="00793676">
        <w:rPr>
          <w:rFonts w:asciiTheme="minorHAnsi" w:hAnsiTheme="minorHAnsi"/>
          <w:b/>
          <w:smallCaps/>
          <w:sz w:val="22"/>
          <w:szCs w:val="22"/>
        </w:rPr>
        <w:t>srednjoškolskom</w:t>
      </w:r>
      <w:proofErr w:type="spellEnd"/>
      <w:r w:rsidRPr="00793676">
        <w:rPr>
          <w:rFonts w:asciiTheme="minorHAnsi" w:hAnsiTheme="minorHAnsi"/>
          <w:b/>
          <w:smallCaps/>
          <w:sz w:val="22"/>
          <w:szCs w:val="22"/>
        </w:rPr>
        <w:t xml:space="preserve"> </w:t>
      </w:r>
      <w:proofErr w:type="spellStart"/>
      <w:r w:rsidRPr="00793676">
        <w:rPr>
          <w:rFonts w:asciiTheme="minorHAnsi" w:hAnsiTheme="minorHAnsi"/>
          <w:b/>
          <w:smallCaps/>
          <w:sz w:val="22"/>
          <w:szCs w:val="22"/>
        </w:rPr>
        <w:t>obrazovanju</w:t>
      </w:r>
      <w:proofErr w:type="spellEnd"/>
    </w:p>
    <w:p w14:paraId="77666726" w14:textId="77777777" w:rsidR="00793676" w:rsidRPr="00007943" w:rsidRDefault="00793676" w:rsidP="00793676">
      <w:pPr>
        <w:pBdr>
          <w:top w:val="single" w:sz="4" w:space="1" w:color="auto"/>
          <w:left w:val="single" w:sz="4" w:space="4" w:color="auto"/>
          <w:bottom w:val="single" w:sz="4" w:space="1" w:color="auto"/>
          <w:right w:val="single" w:sz="4" w:space="4" w:color="auto"/>
        </w:pBdr>
        <w:adjustRightInd w:val="0"/>
        <w:snapToGrid w:val="0"/>
        <w:jc w:val="both"/>
        <w:rPr>
          <w:rFonts w:asciiTheme="minorHAnsi" w:hAnsiTheme="minorHAnsi"/>
          <w:smallCaps/>
          <w:sz w:val="10"/>
          <w:szCs w:val="10"/>
        </w:rPr>
      </w:pPr>
    </w:p>
    <w:p w14:paraId="5F974133" w14:textId="5A04D784" w:rsidR="004660A9" w:rsidRPr="0032035D" w:rsidRDefault="0032035D" w:rsidP="00793676">
      <w:pPr>
        <w:pBdr>
          <w:top w:val="single" w:sz="4" w:space="1" w:color="auto"/>
          <w:left w:val="single" w:sz="4" w:space="4" w:color="auto"/>
          <w:bottom w:val="single" w:sz="4" w:space="1" w:color="auto"/>
          <w:right w:val="single" w:sz="4" w:space="4" w:color="auto"/>
        </w:pBdr>
        <w:jc w:val="both"/>
        <w:rPr>
          <w:rFonts w:asciiTheme="minorHAnsi" w:hAnsiTheme="minorHAnsi"/>
          <w:sz w:val="22"/>
          <w:szCs w:val="22"/>
        </w:rPr>
      </w:pPr>
      <w:proofErr w:type="spellStart"/>
      <w:r w:rsidRPr="0032035D">
        <w:rPr>
          <w:rFonts w:asciiTheme="minorHAnsi" w:hAnsiTheme="minorHAnsi"/>
          <w:sz w:val="22"/>
          <w:szCs w:val="22"/>
        </w:rPr>
        <w:t>Prema</w:t>
      </w:r>
      <w:proofErr w:type="spellEnd"/>
      <w:r w:rsidRPr="0032035D">
        <w:rPr>
          <w:rFonts w:asciiTheme="minorHAnsi" w:hAnsiTheme="minorHAnsi"/>
          <w:sz w:val="22"/>
          <w:szCs w:val="22"/>
        </w:rPr>
        <w:t xml:space="preserve"> </w:t>
      </w:r>
      <w:proofErr w:type="spellStart"/>
      <w:r w:rsidRPr="0032035D">
        <w:rPr>
          <w:rFonts w:asciiTheme="minorHAnsi" w:hAnsiTheme="minorHAnsi"/>
          <w:sz w:val="22"/>
          <w:szCs w:val="22"/>
        </w:rPr>
        <w:t>predlogu</w:t>
      </w:r>
      <w:proofErr w:type="spellEnd"/>
      <w:r w:rsidR="00007943">
        <w:rPr>
          <w:rFonts w:asciiTheme="minorHAnsi" w:hAnsiTheme="minorHAnsi"/>
          <w:sz w:val="22"/>
          <w:szCs w:val="22"/>
        </w:rPr>
        <w:t xml:space="preserve"> </w:t>
      </w:r>
      <w:proofErr w:type="spellStart"/>
      <w:r w:rsidRPr="0032035D">
        <w:rPr>
          <w:rFonts w:asciiTheme="minorHAnsi" w:hAnsiTheme="minorHAnsi"/>
          <w:sz w:val="22"/>
          <w:szCs w:val="22"/>
        </w:rPr>
        <w:t>Strategije</w:t>
      </w:r>
      <w:proofErr w:type="spellEnd"/>
      <w:r w:rsidRPr="0032035D">
        <w:rPr>
          <w:rFonts w:asciiTheme="minorHAnsi" w:hAnsiTheme="minorHAnsi"/>
          <w:sz w:val="22"/>
          <w:szCs w:val="22"/>
        </w:rPr>
        <w:t xml:space="preserve"> </w:t>
      </w:r>
      <w:proofErr w:type="spellStart"/>
      <w:r w:rsidR="00007943">
        <w:rPr>
          <w:rFonts w:asciiTheme="minorHAnsi" w:hAnsiTheme="minorHAnsi"/>
          <w:sz w:val="22"/>
          <w:szCs w:val="22"/>
        </w:rPr>
        <w:t>obrazovanja</w:t>
      </w:r>
      <w:proofErr w:type="spellEnd"/>
      <w:r w:rsidR="00007943">
        <w:rPr>
          <w:rFonts w:asciiTheme="minorHAnsi" w:hAnsiTheme="minorHAnsi"/>
          <w:sz w:val="22"/>
          <w:szCs w:val="22"/>
        </w:rPr>
        <w:t xml:space="preserve"> </w:t>
      </w:r>
      <w:r w:rsidRPr="0032035D">
        <w:rPr>
          <w:rFonts w:asciiTheme="minorHAnsi" w:hAnsiTheme="minorHAnsi"/>
          <w:sz w:val="22"/>
          <w:szCs w:val="22"/>
        </w:rPr>
        <w:t xml:space="preserve">do </w:t>
      </w:r>
      <w:r w:rsidR="00007943">
        <w:rPr>
          <w:rFonts w:asciiTheme="minorHAnsi" w:hAnsiTheme="minorHAnsi"/>
          <w:sz w:val="22"/>
          <w:szCs w:val="22"/>
        </w:rPr>
        <w:t>2</w:t>
      </w:r>
      <w:r w:rsidRPr="0032035D">
        <w:rPr>
          <w:rFonts w:asciiTheme="minorHAnsi" w:hAnsiTheme="minorHAnsi"/>
          <w:sz w:val="22"/>
          <w:szCs w:val="22"/>
        </w:rPr>
        <w:t>030</w:t>
      </w:r>
      <w:r w:rsidR="00007943">
        <w:rPr>
          <w:rFonts w:asciiTheme="minorHAnsi" w:hAnsiTheme="minorHAnsi"/>
          <w:sz w:val="22"/>
          <w:szCs w:val="22"/>
        </w:rPr>
        <w:t>.</w:t>
      </w:r>
      <w:r w:rsidRPr="0032035D">
        <w:rPr>
          <w:rFonts w:asciiTheme="minorHAnsi" w:hAnsiTheme="minorHAnsi"/>
          <w:sz w:val="22"/>
          <w:szCs w:val="22"/>
        </w:rPr>
        <w:t xml:space="preserve"> </w:t>
      </w:r>
      <w:proofErr w:type="spellStart"/>
      <w:r w:rsidRPr="0032035D">
        <w:rPr>
          <w:rFonts w:asciiTheme="minorHAnsi" w:hAnsiTheme="minorHAnsi"/>
          <w:sz w:val="22"/>
          <w:szCs w:val="22"/>
        </w:rPr>
        <w:t>obezbeđivanje</w:t>
      </w:r>
      <w:proofErr w:type="spellEnd"/>
      <w:r w:rsidRPr="0032035D">
        <w:rPr>
          <w:rFonts w:asciiTheme="minorHAnsi" w:hAnsiTheme="minorHAnsi"/>
          <w:sz w:val="22"/>
          <w:szCs w:val="22"/>
        </w:rPr>
        <w:t xml:space="preserve"> </w:t>
      </w:r>
      <w:proofErr w:type="spellStart"/>
      <w:r w:rsidRPr="0032035D">
        <w:rPr>
          <w:rFonts w:asciiTheme="minorHAnsi" w:hAnsiTheme="minorHAnsi"/>
          <w:sz w:val="22"/>
          <w:szCs w:val="22"/>
        </w:rPr>
        <w:t>uslova</w:t>
      </w:r>
      <w:proofErr w:type="spellEnd"/>
      <w:r w:rsidRPr="0032035D">
        <w:rPr>
          <w:rFonts w:asciiTheme="minorHAnsi" w:hAnsiTheme="minorHAnsi"/>
          <w:sz w:val="22"/>
          <w:szCs w:val="22"/>
        </w:rPr>
        <w:t xml:space="preserve"> za </w:t>
      </w:r>
      <w:proofErr w:type="spellStart"/>
      <w:r w:rsidRPr="0032035D">
        <w:rPr>
          <w:rFonts w:asciiTheme="minorHAnsi" w:hAnsiTheme="minorHAnsi"/>
          <w:sz w:val="22"/>
          <w:szCs w:val="22"/>
        </w:rPr>
        <w:t>uvođenje</w:t>
      </w:r>
      <w:proofErr w:type="spellEnd"/>
      <w:r w:rsidRPr="0032035D">
        <w:rPr>
          <w:rFonts w:asciiTheme="minorHAnsi" w:hAnsiTheme="minorHAnsi"/>
          <w:sz w:val="22"/>
          <w:szCs w:val="22"/>
        </w:rPr>
        <w:t xml:space="preserve"> </w:t>
      </w:r>
      <w:proofErr w:type="spellStart"/>
      <w:r w:rsidRPr="0032035D">
        <w:rPr>
          <w:rFonts w:asciiTheme="minorHAnsi" w:hAnsiTheme="minorHAnsi"/>
          <w:sz w:val="22"/>
          <w:szCs w:val="22"/>
        </w:rPr>
        <w:t>obaveznog</w:t>
      </w:r>
      <w:proofErr w:type="spellEnd"/>
      <w:r w:rsidRPr="0032035D">
        <w:rPr>
          <w:rFonts w:asciiTheme="minorHAnsi" w:hAnsiTheme="minorHAnsi"/>
          <w:sz w:val="22"/>
          <w:szCs w:val="22"/>
        </w:rPr>
        <w:t xml:space="preserve"> </w:t>
      </w:r>
      <w:proofErr w:type="spellStart"/>
      <w:r w:rsidRPr="0032035D">
        <w:rPr>
          <w:rFonts w:asciiTheme="minorHAnsi" w:hAnsiTheme="minorHAnsi"/>
          <w:sz w:val="22"/>
          <w:szCs w:val="22"/>
        </w:rPr>
        <w:t>srednjeg</w:t>
      </w:r>
      <w:proofErr w:type="spellEnd"/>
      <w:r w:rsidRPr="0032035D">
        <w:rPr>
          <w:rFonts w:asciiTheme="minorHAnsi" w:hAnsiTheme="minorHAnsi"/>
          <w:sz w:val="22"/>
          <w:szCs w:val="22"/>
        </w:rPr>
        <w:t xml:space="preserve"> </w:t>
      </w:r>
      <w:proofErr w:type="spellStart"/>
      <w:r w:rsidRPr="0032035D">
        <w:rPr>
          <w:rFonts w:asciiTheme="minorHAnsi" w:hAnsiTheme="minorHAnsi"/>
          <w:sz w:val="22"/>
          <w:szCs w:val="22"/>
        </w:rPr>
        <w:t>obrazovanja</w:t>
      </w:r>
      <w:proofErr w:type="spellEnd"/>
      <w:r w:rsidRPr="0032035D">
        <w:rPr>
          <w:rFonts w:asciiTheme="minorHAnsi" w:hAnsiTheme="minorHAnsi"/>
          <w:sz w:val="22"/>
          <w:szCs w:val="22"/>
        </w:rPr>
        <w:t xml:space="preserve"> </w:t>
      </w:r>
      <w:proofErr w:type="spellStart"/>
      <w:r w:rsidRPr="0032035D">
        <w:rPr>
          <w:rFonts w:asciiTheme="minorHAnsi" w:hAnsiTheme="minorHAnsi"/>
          <w:sz w:val="22"/>
          <w:szCs w:val="22"/>
        </w:rPr>
        <w:t>i</w:t>
      </w:r>
      <w:proofErr w:type="spellEnd"/>
      <w:r w:rsidRPr="0032035D">
        <w:rPr>
          <w:rFonts w:asciiTheme="minorHAnsi" w:hAnsiTheme="minorHAnsi"/>
          <w:sz w:val="22"/>
          <w:szCs w:val="22"/>
        </w:rPr>
        <w:t xml:space="preserve"> </w:t>
      </w:r>
      <w:proofErr w:type="spellStart"/>
      <w:r w:rsidRPr="0032035D">
        <w:rPr>
          <w:rFonts w:asciiTheme="minorHAnsi" w:hAnsiTheme="minorHAnsi"/>
          <w:sz w:val="22"/>
          <w:szCs w:val="22"/>
        </w:rPr>
        <w:t>vaspitanja</w:t>
      </w:r>
      <w:proofErr w:type="spellEnd"/>
      <w:r w:rsidRPr="0032035D">
        <w:rPr>
          <w:rFonts w:asciiTheme="minorHAnsi" w:hAnsiTheme="minorHAnsi"/>
          <w:sz w:val="22"/>
          <w:szCs w:val="22"/>
        </w:rPr>
        <w:t xml:space="preserve"> se </w:t>
      </w:r>
      <w:proofErr w:type="spellStart"/>
      <w:r w:rsidRPr="0032035D">
        <w:rPr>
          <w:rFonts w:asciiTheme="minorHAnsi" w:hAnsiTheme="minorHAnsi"/>
          <w:sz w:val="22"/>
          <w:szCs w:val="22"/>
        </w:rPr>
        <w:t>može</w:t>
      </w:r>
      <w:proofErr w:type="spellEnd"/>
      <w:r w:rsidRPr="0032035D">
        <w:rPr>
          <w:rFonts w:asciiTheme="minorHAnsi" w:hAnsiTheme="minorHAnsi"/>
          <w:sz w:val="22"/>
          <w:szCs w:val="22"/>
        </w:rPr>
        <w:t xml:space="preserve"> </w:t>
      </w:r>
      <w:proofErr w:type="spellStart"/>
      <w:r w:rsidRPr="0032035D">
        <w:rPr>
          <w:rFonts w:asciiTheme="minorHAnsi" w:hAnsiTheme="minorHAnsi"/>
          <w:sz w:val="22"/>
          <w:szCs w:val="22"/>
        </w:rPr>
        <w:t>smatrati</w:t>
      </w:r>
      <w:proofErr w:type="spellEnd"/>
      <w:r w:rsidRPr="0032035D">
        <w:rPr>
          <w:rFonts w:asciiTheme="minorHAnsi" w:hAnsiTheme="minorHAnsi"/>
          <w:sz w:val="22"/>
          <w:szCs w:val="22"/>
        </w:rPr>
        <w:t xml:space="preserve"> </w:t>
      </w:r>
      <w:proofErr w:type="spellStart"/>
      <w:r w:rsidRPr="0032035D">
        <w:rPr>
          <w:rFonts w:asciiTheme="minorHAnsi" w:hAnsiTheme="minorHAnsi"/>
          <w:sz w:val="22"/>
          <w:szCs w:val="22"/>
        </w:rPr>
        <w:t>jednim</w:t>
      </w:r>
      <w:proofErr w:type="spellEnd"/>
      <w:r w:rsidRPr="0032035D">
        <w:rPr>
          <w:rFonts w:asciiTheme="minorHAnsi" w:hAnsiTheme="minorHAnsi"/>
          <w:sz w:val="22"/>
          <w:szCs w:val="22"/>
        </w:rPr>
        <w:t xml:space="preserve"> </w:t>
      </w:r>
      <w:proofErr w:type="spellStart"/>
      <w:r w:rsidRPr="0032035D">
        <w:rPr>
          <w:rFonts w:asciiTheme="minorHAnsi" w:hAnsiTheme="minorHAnsi"/>
          <w:sz w:val="22"/>
          <w:szCs w:val="22"/>
        </w:rPr>
        <w:t>od</w:t>
      </w:r>
      <w:proofErr w:type="spellEnd"/>
      <w:r w:rsidRPr="0032035D">
        <w:rPr>
          <w:rFonts w:asciiTheme="minorHAnsi" w:hAnsiTheme="minorHAnsi"/>
          <w:sz w:val="22"/>
          <w:szCs w:val="22"/>
        </w:rPr>
        <w:t xml:space="preserve"> </w:t>
      </w:r>
      <w:proofErr w:type="spellStart"/>
      <w:r w:rsidRPr="0032035D">
        <w:rPr>
          <w:rFonts w:asciiTheme="minorHAnsi" w:hAnsiTheme="minorHAnsi"/>
          <w:sz w:val="22"/>
          <w:szCs w:val="22"/>
        </w:rPr>
        <w:t>ključnih</w:t>
      </w:r>
      <w:proofErr w:type="spellEnd"/>
      <w:r w:rsidRPr="0032035D">
        <w:rPr>
          <w:rFonts w:asciiTheme="minorHAnsi" w:hAnsiTheme="minorHAnsi"/>
          <w:sz w:val="22"/>
          <w:szCs w:val="22"/>
        </w:rPr>
        <w:t xml:space="preserve"> </w:t>
      </w:r>
      <w:proofErr w:type="spellStart"/>
      <w:r w:rsidRPr="0032035D">
        <w:rPr>
          <w:rFonts w:asciiTheme="minorHAnsi" w:hAnsiTheme="minorHAnsi"/>
          <w:sz w:val="22"/>
          <w:szCs w:val="22"/>
        </w:rPr>
        <w:t>prioriteta</w:t>
      </w:r>
      <w:proofErr w:type="spellEnd"/>
      <w:r w:rsidR="00007943">
        <w:rPr>
          <w:rFonts w:asciiTheme="minorHAnsi" w:hAnsiTheme="minorHAnsi"/>
          <w:sz w:val="22"/>
          <w:szCs w:val="22"/>
        </w:rPr>
        <w:t xml:space="preserve">. </w:t>
      </w:r>
      <w:proofErr w:type="spellStart"/>
      <w:r w:rsidR="00007943" w:rsidRPr="00007943">
        <w:rPr>
          <w:rFonts w:asciiTheme="minorHAnsi" w:hAnsiTheme="minorHAnsi"/>
          <w:sz w:val="22"/>
          <w:szCs w:val="22"/>
        </w:rPr>
        <w:t>Optimizacija</w:t>
      </w:r>
      <w:proofErr w:type="spellEnd"/>
      <w:r w:rsidR="00007943" w:rsidRPr="00007943">
        <w:rPr>
          <w:rFonts w:asciiTheme="minorHAnsi" w:hAnsiTheme="minorHAnsi"/>
          <w:sz w:val="22"/>
          <w:szCs w:val="22"/>
        </w:rPr>
        <w:t xml:space="preserve"> </w:t>
      </w:r>
      <w:proofErr w:type="spellStart"/>
      <w:r w:rsidR="00007943" w:rsidRPr="00007943">
        <w:rPr>
          <w:rFonts w:asciiTheme="minorHAnsi" w:hAnsiTheme="minorHAnsi"/>
          <w:sz w:val="22"/>
          <w:szCs w:val="22"/>
        </w:rPr>
        <w:t>mreže</w:t>
      </w:r>
      <w:proofErr w:type="spellEnd"/>
      <w:r w:rsidR="00007943" w:rsidRPr="00007943">
        <w:rPr>
          <w:rFonts w:asciiTheme="minorHAnsi" w:hAnsiTheme="minorHAnsi"/>
          <w:sz w:val="22"/>
          <w:szCs w:val="22"/>
        </w:rPr>
        <w:t xml:space="preserve"> </w:t>
      </w:r>
      <w:proofErr w:type="spellStart"/>
      <w:r w:rsidR="00007943" w:rsidRPr="00007943">
        <w:rPr>
          <w:rFonts w:asciiTheme="minorHAnsi" w:hAnsiTheme="minorHAnsi"/>
          <w:sz w:val="22"/>
          <w:szCs w:val="22"/>
        </w:rPr>
        <w:t>srednjih</w:t>
      </w:r>
      <w:proofErr w:type="spellEnd"/>
      <w:r w:rsidR="00007943" w:rsidRPr="00007943">
        <w:rPr>
          <w:rFonts w:asciiTheme="minorHAnsi" w:hAnsiTheme="minorHAnsi"/>
          <w:sz w:val="22"/>
          <w:szCs w:val="22"/>
        </w:rPr>
        <w:t xml:space="preserve"> </w:t>
      </w:r>
      <w:proofErr w:type="spellStart"/>
      <w:r w:rsidR="00007943" w:rsidRPr="00007943">
        <w:rPr>
          <w:rFonts w:asciiTheme="minorHAnsi" w:hAnsiTheme="minorHAnsi"/>
          <w:sz w:val="22"/>
          <w:szCs w:val="22"/>
        </w:rPr>
        <w:t>škola</w:t>
      </w:r>
      <w:proofErr w:type="spellEnd"/>
      <w:r w:rsidR="00007943">
        <w:rPr>
          <w:rFonts w:asciiTheme="minorHAnsi" w:hAnsiTheme="minorHAnsi"/>
          <w:sz w:val="22"/>
          <w:szCs w:val="22"/>
        </w:rPr>
        <w:t xml:space="preserve">, </w:t>
      </w:r>
      <w:proofErr w:type="spellStart"/>
      <w:r w:rsidR="00007943">
        <w:rPr>
          <w:rFonts w:asciiTheme="minorHAnsi" w:hAnsiTheme="minorHAnsi"/>
          <w:sz w:val="22"/>
          <w:szCs w:val="22"/>
        </w:rPr>
        <w:t>koja</w:t>
      </w:r>
      <w:proofErr w:type="spellEnd"/>
      <w:r w:rsidR="00007943">
        <w:rPr>
          <w:rFonts w:asciiTheme="minorHAnsi" w:hAnsiTheme="minorHAnsi"/>
          <w:sz w:val="22"/>
          <w:szCs w:val="22"/>
        </w:rPr>
        <w:t xml:space="preserve"> </w:t>
      </w:r>
      <w:r w:rsidR="00007943" w:rsidRPr="00007943">
        <w:rPr>
          <w:rFonts w:asciiTheme="minorHAnsi" w:hAnsiTheme="minorHAnsi"/>
          <w:sz w:val="22"/>
          <w:szCs w:val="22"/>
        </w:rPr>
        <w:t xml:space="preserve">je u </w:t>
      </w:r>
      <w:proofErr w:type="spellStart"/>
      <w:r w:rsidR="00007943" w:rsidRPr="00007943">
        <w:rPr>
          <w:rFonts w:asciiTheme="minorHAnsi" w:hAnsiTheme="minorHAnsi"/>
          <w:sz w:val="22"/>
          <w:szCs w:val="22"/>
        </w:rPr>
        <w:t>toku</w:t>
      </w:r>
      <w:proofErr w:type="spellEnd"/>
      <w:r w:rsidR="00007943" w:rsidRPr="00007943">
        <w:rPr>
          <w:rFonts w:asciiTheme="minorHAnsi" w:hAnsiTheme="minorHAnsi"/>
          <w:sz w:val="22"/>
          <w:szCs w:val="22"/>
        </w:rPr>
        <w:t xml:space="preserve">, </w:t>
      </w:r>
      <w:proofErr w:type="spellStart"/>
      <w:r w:rsidR="00007943" w:rsidRPr="00007943">
        <w:rPr>
          <w:rFonts w:asciiTheme="minorHAnsi" w:hAnsiTheme="minorHAnsi"/>
          <w:sz w:val="22"/>
          <w:szCs w:val="22"/>
        </w:rPr>
        <w:t>treba</w:t>
      </w:r>
      <w:proofErr w:type="spellEnd"/>
      <w:r w:rsidR="00007943" w:rsidRPr="00007943">
        <w:rPr>
          <w:rFonts w:asciiTheme="minorHAnsi" w:hAnsiTheme="minorHAnsi"/>
          <w:sz w:val="22"/>
          <w:szCs w:val="22"/>
        </w:rPr>
        <w:t xml:space="preserve"> da </w:t>
      </w:r>
      <w:proofErr w:type="spellStart"/>
      <w:r w:rsidR="00007943" w:rsidRPr="00007943">
        <w:rPr>
          <w:rFonts w:asciiTheme="minorHAnsi" w:hAnsiTheme="minorHAnsi"/>
          <w:sz w:val="22"/>
          <w:szCs w:val="22"/>
        </w:rPr>
        <w:t>bude</w:t>
      </w:r>
      <w:proofErr w:type="spellEnd"/>
      <w:r w:rsidR="00007943" w:rsidRPr="00007943">
        <w:rPr>
          <w:rFonts w:asciiTheme="minorHAnsi" w:hAnsiTheme="minorHAnsi"/>
          <w:sz w:val="22"/>
          <w:szCs w:val="22"/>
        </w:rPr>
        <w:t xml:space="preserve"> </w:t>
      </w:r>
      <w:proofErr w:type="spellStart"/>
      <w:r w:rsidR="00007943" w:rsidRPr="00007943">
        <w:rPr>
          <w:rFonts w:asciiTheme="minorHAnsi" w:hAnsiTheme="minorHAnsi"/>
          <w:sz w:val="22"/>
          <w:szCs w:val="22"/>
        </w:rPr>
        <w:t>ubrzana</w:t>
      </w:r>
      <w:proofErr w:type="spellEnd"/>
      <w:r w:rsidR="00007943" w:rsidRPr="00007943">
        <w:rPr>
          <w:rFonts w:asciiTheme="minorHAnsi" w:hAnsiTheme="minorHAnsi"/>
          <w:sz w:val="22"/>
          <w:szCs w:val="22"/>
        </w:rPr>
        <w:t xml:space="preserve"> a </w:t>
      </w:r>
      <w:proofErr w:type="spellStart"/>
      <w:r w:rsidR="00007943" w:rsidRPr="00007943">
        <w:rPr>
          <w:rFonts w:asciiTheme="minorHAnsi" w:hAnsiTheme="minorHAnsi"/>
          <w:sz w:val="22"/>
          <w:szCs w:val="22"/>
        </w:rPr>
        <w:t>kapaciteti</w:t>
      </w:r>
      <w:proofErr w:type="spellEnd"/>
      <w:r w:rsidR="00007943" w:rsidRPr="00007943">
        <w:rPr>
          <w:rFonts w:asciiTheme="minorHAnsi" w:hAnsiTheme="minorHAnsi"/>
          <w:sz w:val="22"/>
          <w:szCs w:val="22"/>
        </w:rPr>
        <w:t xml:space="preserve"> </w:t>
      </w:r>
      <w:proofErr w:type="spellStart"/>
      <w:r w:rsidR="00007943" w:rsidRPr="00007943">
        <w:rPr>
          <w:rFonts w:asciiTheme="minorHAnsi" w:hAnsiTheme="minorHAnsi"/>
          <w:sz w:val="22"/>
          <w:szCs w:val="22"/>
        </w:rPr>
        <w:t>lokalnih</w:t>
      </w:r>
      <w:proofErr w:type="spellEnd"/>
      <w:r w:rsidR="00007943" w:rsidRPr="00007943">
        <w:rPr>
          <w:rFonts w:asciiTheme="minorHAnsi" w:hAnsiTheme="minorHAnsi"/>
          <w:sz w:val="22"/>
          <w:szCs w:val="22"/>
        </w:rPr>
        <w:t xml:space="preserve"> </w:t>
      </w:r>
      <w:proofErr w:type="spellStart"/>
      <w:r w:rsidR="00007943" w:rsidRPr="00007943">
        <w:rPr>
          <w:rFonts w:asciiTheme="minorHAnsi" w:hAnsiTheme="minorHAnsi"/>
          <w:sz w:val="22"/>
          <w:szCs w:val="22"/>
        </w:rPr>
        <w:t>samouprava</w:t>
      </w:r>
      <w:proofErr w:type="spellEnd"/>
      <w:r w:rsidR="00007943" w:rsidRPr="00007943">
        <w:rPr>
          <w:rFonts w:asciiTheme="minorHAnsi" w:hAnsiTheme="minorHAnsi"/>
          <w:sz w:val="22"/>
          <w:szCs w:val="22"/>
        </w:rPr>
        <w:t xml:space="preserve"> za </w:t>
      </w:r>
      <w:proofErr w:type="spellStart"/>
      <w:r w:rsidR="00007943" w:rsidRPr="00007943">
        <w:rPr>
          <w:rFonts w:asciiTheme="minorHAnsi" w:hAnsiTheme="minorHAnsi"/>
          <w:sz w:val="22"/>
          <w:szCs w:val="22"/>
        </w:rPr>
        <w:t>planiranje</w:t>
      </w:r>
      <w:proofErr w:type="spellEnd"/>
      <w:r w:rsidR="00007943" w:rsidRPr="00007943">
        <w:rPr>
          <w:rFonts w:asciiTheme="minorHAnsi" w:hAnsiTheme="minorHAnsi"/>
          <w:sz w:val="22"/>
          <w:szCs w:val="22"/>
        </w:rPr>
        <w:t xml:space="preserve"> </w:t>
      </w:r>
      <w:proofErr w:type="spellStart"/>
      <w:r w:rsidR="00007943" w:rsidRPr="00007943">
        <w:rPr>
          <w:rFonts w:asciiTheme="minorHAnsi" w:hAnsiTheme="minorHAnsi"/>
          <w:sz w:val="22"/>
          <w:szCs w:val="22"/>
        </w:rPr>
        <w:t>upisa</w:t>
      </w:r>
      <w:proofErr w:type="spellEnd"/>
      <w:r w:rsidR="00007943" w:rsidRPr="00007943">
        <w:rPr>
          <w:rFonts w:asciiTheme="minorHAnsi" w:hAnsiTheme="minorHAnsi"/>
          <w:sz w:val="22"/>
          <w:szCs w:val="22"/>
        </w:rPr>
        <w:t xml:space="preserve"> </w:t>
      </w:r>
      <w:proofErr w:type="spellStart"/>
      <w:r w:rsidR="00007943" w:rsidRPr="00007943">
        <w:rPr>
          <w:rFonts w:asciiTheme="minorHAnsi" w:hAnsiTheme="minorHAnsi"/>
          <w:sz w:val="22"/>
          <w:szCs w:val="22"/>
        </w:rPr>
        <w:t>zasnovani</w:t>
      </w:r>
      <w:proofErr w:type="spellEnd"/>
      <w:r w:rsidR="00007943" w:rsidRPr="00007943">
        <w:rPr>
          <w:rFonts w:asciiTheme="minorHAnsi" w:hAnsiTheme="minorHAnsi"/>
          <w:sz w:val="22"/>
          <w:szCs w:val="22"/>
        </w:rPr>
        <w:t xml:space="preserve"> </w:t>
      </w:r>
      <w:proofErr w:type="spellStart"/>
      <w:r w:rsidR="00007943" w:rsidRPr="00007943">
        <w:rPr>
          <w:rFonts w:asciiTheme="minorHAnsi" w:hAnsiTheme="minorHAnsi"/>
          <w:sz w:val="22"/>
          <w:szCs w:val="22"/>
        </w:rPr>
        <w:t>na</w:t>
      </w:r>
      <w:proofErr w:type="spellEnd"/>
      <w:r w:rsidR="00007943" w:rsidRPr="00007943">
        <w:rPr>
          <w:rFonts w:asciiTheme="minorHAnsi" w:hAnsiTheme="minorHAnsi"/>
          <w:sz w:val="22"/>
          <w:szCs w:val="22"/>
        </w:rPr>
        <w:t xml:space="preserve"> </w:t>
      </w:r>
      <w:proofErr w:type="spellStart"/>
      <w:r w:rsidR="00007943" w:rsidRPr="00007943">
        <w:rPr>
          <w:rFonts w:asciiTheme="minorHAnsi" w:hAnsiTheme="minorHAnsi"/>
          <w:sz w:val="22"/>
          <w:szCs w:val="22"/>
        </w:rPr>
        <w:t>donetim</w:t>
      </w:r>
      <w:proofErr w:type="spellEnd"/>
      <w:r w:rsidR="00007943" w:rsidRPr="00007943">
        <w:rPr>
          <w:rFonts w:asciiTheme="minorHAnsi" w:hAnsiTheme="minorHAnsi"/>
          <w:sz w:val="22"/>
          <w:szCs w:val="22"/>
        </w:rPr>
        <w:t xml:space="preserve"> </w:t>
      </w:r>
      <w:proofErr w:type="spellStart"/>
      <w:r w:rsidR="00007943" w:rsidRPr="00007943">
        <w:rPr>
          <w:rFonts w:asciiTheme="minorHAnsi" w:hAnsiTheme="minorHAnsi"/>
          <w:sz w:val="22"/>
          <w:szCs w:val="22"/>
        </w:rPr>
        <w:t>kriterijumima</w:t>
      </w:r>
      <w:proofErr w:type="spellEnd"/>
      <w:r w:rsidR="00007943" w:rsidRPr="00007943">
        <w:rPr>
          <w:rFonts w:asciiTheme="minorHAnsi" w:hAnsiTheme="minorHAnsi"/>
          <w:sz w:val="22"/>
          <w:szCs w:val="22"/>
        </w:rPr>
        <w:t xml:space="preserve"> </w:t>
      </w:r>
      <w:proofErr w:type="spellStart"/>
      <w:r w:rsidR="00007943" w:rsidRPr="00007943">
        <w:rPr>
          <w:rFonts w:asciiTheme="minorHAnsi" w:hAnsiTheme="minorHAnsi"/>
          <w:sz w:val="22"/>
          <w:szCs w:val="22"/>
        </w:rPr>
        <w:t>treba</w:t>
      </w:r>
      <w:proofErr w:type="spellEnd"/>
      <w:r w:rsidR="00007943" w:rsidRPr="00007943">
        <w:rPr>
          <w:rFonts w:asciiTheme="minorHAnsi" w:hAnsiTheme="minorHAnsi"/>
          <w:sz w:val="22"/>
          <w:szCs w:val="22"/>
        </w:rPr>
        <w:t xml:space="preserve"> da </w:t>
      </w:r>
      <w:proofErr w:type="spellStart"/>
      <w:r w:rsidR="00007943" w:rsidRPr="00007943">
        <w:rPr>
          <w:rFonts w:asciiTheme="minorHAnsi" w:hAnsiTheme="minorHAnsi"/>
          <w:sz w:val="22"/>
          <w:szCs w:val="22"/>
        </w:rPr>
        <w:t>budu</w:t>
      </w:r>
      <w:proofErr w:type="spellEnd"/>
      <w:r w:rsidR="00007943" w:rsidRPr="00007943">
        <w:rPr>
          <w:rFonts w:asciiTheme="minorHAnsi" w:hAnsiTheme="minorHAnsi"/>
          <w:sz w:val="22"/>
          <w:szCs w:val="22"/>
        </w:rPr>
        <w:t xml:space="preserve"> </w:t>
      </w:r>
      <w:proofErr w:type="spellStart"/>
      <w:r w:rsidR="00007943" w:rsidRPr="00007943">
        <w:rPr>
          <w:rFonts w:asciiTheme="minorHAnsi" w:hAnsiTheme="minorHAnsi"/>
          <w:sz w:val="22"/>
          <w:szCs w:val="22"/>
        </w:rPr>
        <w:t>ojačani</w:t>
      </w:r>
      <w:proofErr w:type="spellEnd"/>
      <w:r w:rsidR="00007943" w:rsidRPr="00007943">
        <w:rPr>
          <w:rFonts w:asciiTheme="minorHAnsi" w:hAnsiTheme="minorHAnsi"/>
          <w:sz w:val="22"/>
          <w:szCs w:val="22"/>
        </w:rPr>
        <w:t>.</w:t>
      </w:r>
    </w:p>
    <w:p w14:paraId="22E24ED3" w14:textId="77777777" w:rsidR="00DB5D24" w:rsidRPr="00007943" w:rsidRDefault="00DB5D24" w:rsidP="00793676">
      <w:pPr>
        <w:pBdr>
          <w:top w:val="single" w:sz="4" w:space="1" w:color="auto"/>
          <w:left w:val="single" w:sz="4" w:space="4" w:color="auto"/>
          <w:bottom w:val="single" w:sz="4" w:space="1" w:color="auto"/>
          <w:right w:val="single" w:sz="4" w:space="4" w:color="auto"/>
        </w:pBdr>
        <w:rPr>
          <w:rFonts w:asciiTheme="minorHAnsi" w:hAnsiTheme="minorHAnsi"/>
          <w:b/>
          <w:smallCaps/>
          <w:sz w:val="20"/>
          <w:szCs w:val="20"/>
        </w:rPr>
      </w:pPr>
    </w:p>
    <w:p w14:paraId="6626708B" w14:textId="77777777" w:rsidR="00793676" w:rsidRDefault="00793676" w:rsidP="00DB5D24">
      <w:pPr>
        <w:rPr>
          <w:rFonts w:ascii="Cambria" w:hAnsi="Cambria"/>
          <w:b/>
          <w:sz w:val="22"/>
          <w:szCs w:val="22"/>
        </w:rPr>
      </w:pPr>
    </w:p>
    <w:p w14:paraId="0C79939F" w14:textId="53EDF816" w:rsidR="00DB5D24" w:rsidRPr="00E2695A" w:rsidRDefault="00D15CE4" w:rsidP="00D15CE4">
      <w:pPr>
        <w:jc w:val="both"/>
        <w:rPr>
          <w:rFonts w:asciiTheme="minorHAnsi" w:hAnsiTheme="minorHAnsi" w:cstheme="minorHAnsi"/>
          <w:sz w:val="22"/>
          <w:szCs w:val="22"/>
        </w:rPr>
      </w:pPr>
      <w:r w:rsidRPr="00E2695A">
        <w:rPr>
          <w:rFonts w:asciiTheme="minorHAnsi" w:hAnsiTheme="minorHAnsi" w:cstheme="minorHAnsi"/>
          <w:b/>
          <w:i/>
          <w:sz w:val="22"/>
          <w:szCs w:val="22"/>
        </w:rPr>
        <w:t xml:space="preserve">U </w:t>
      </w:r>
      <w:proofErr w:type="spellStart"/>
      <w:r w:rsidR="00061868">
        <w:rPr>
          <w:rFonts w:asciiTheme="minorHAnsi" w:hAnsiTheme="minorHAnsi" w:cstheme="minorHAnsi"/>
          <w:b/>
          <w:i/>
          <w:sz w:val="22"/>
          <w:szCs w:val="22"/>
        </w:rPr>
        <w:t>Baču</w:t>
      </w:r>
      <w:proofErr w:type="spellEnd"/>
      <w:r w:rsidR="00061868">
        <w:rPr>
          <w:rFonts w:asciiTheme="minorHAnsi" w:hAnsiTheme="minorHAnsi" w:cstheme="minorHAnsi"/>
          <w:b/>
          <w:i/>
          <w:sz w:val="22"/>
          <w:szCs w:val="22"/>
        </w:rPr>
        <w:t xml:space="preserve"> se </w:t>
      </w:r>
      <w:r w:rsidRPr="00E2695A">
        <w:rPr>
          <w:rFonts w:asciiTheme="minorHAnsi" w:hAnsiTheme="minorHAnsi" w:cstheme="minorHAnsi"/>
          <w:b/>
          <w:i/>
          <w:sz w:val="22"/>
          <w:szCs w:val="22"/>
        </w:rPr>
        <w:t xml:space="preserve"> </w:t>
      </w:r>
      <w:proofErr w:type="spellStart"/>
      <w:r w:rsidRPr="00E2695A">
        <w:rPr>
          <w:rFonts w:asciiTheme="minorHAnsi" w:hAnsiTheme="minorHAnsi" w:cstheme="minorHAnsi"/>
          <w:b/>
          <w:i/>
          <w:sz w:val="22"/>
          <w:szCs w:val="22"/>
        </w:rPr>
        <w:t>nalaz</w:t>
      </w:r>
      <w:r w:rsidR="00061868">
        <w:rPr>
          <w:rFonts w:asciiTheme="minorHAnsi" w:hAnsiTheme="minorHAnsi" w:cstheme="minorHAnsi"/>
          <w:b/>
          <w:i/>
          <w:sz w:val="22"/>
          <w:szCs w:val="22"/>
        </w:rPr>
        <w:t>i</w:t>
      </w:r>
      <w:proofErr w:type="spellEnd"/>
      <w:r w:rsidR="00061868">
        <w:rPr>
          <w:rFonts w:asciiTheme="minorHAnsi" w:hAnsiTheme="minorHAnsi" w:cstheme="minorHAnsi"/>
          <w:b/>
          <w:i/>
          <w:sz w:val="22"/>
          <w:szCs w:val="22"/>
        </w:rPr>
        <w:t xml:space="preserve"> </w:t>
      </w:r>
      <w:r w:rsidRPr="00E2695A">
        <w:rPr>
          <w:rFonts w:asciiTheme="minorHAnsi" w:hAnsiTheme="minorHAnsi" w:cstheme="minorHAnsi"/>
          <w:b/>
          <w:i/>
          <w:sz w:val="22"/>
          <w:szCs w:val="22"/>
        </w:rPr>
        <w:t xml:space="preserve"> </w:t>
      </w:r>
      <w:r w:rsidR="00061868">
        <w:rPr>
          <w:rFonts w:asciiTheme="minorHAnsi" w:hAnsiTheme="minorHAnsi" w:cstheme="minorHAnsi"/>
          <w:b/>
          <w:i/>
          <w:sz w:val="22"/>
          <w:szCs w:val="22"/>
        </w:rPr>
        <w:t>1</w:t>
      </w:r>
      <w:r w:rsidRPr="00E2695A">
        <w:rPr>
          <w:rFonts w:asciiTheme="minorHAnsi" w:hAnsiTheme="minorHAnsi" w:cstheme="minorHAnsi"/>
          <w:b/>
          <w:i/>
          <w:sz w:val="22"/>
          <w:szCs w:val="22"/>
        </w:rPr>
        <w:t xml:space="preserve"> </w:t>
      </w:r>
      <w:proofErr w:type="spellStart"/>
      <w:r w:rsidRPr="00E2695A">
        <w:rPr>
          <w:rFonts w:asciiTheme="minorHAnsi" w:hAnsiTheme="minorHAnsi" w:cstheme="minorHAnsi"/>
          <w:b/>
          <w:i/>
          <w:sz w:val="22"/>
          <w:szCs w:val="22"/>
        </w:rPr>
        <w:t>srednja</w:t>
      </w:r>
      <w:proofErr w:type="spellEnd"/>
      <w:r w:rsidRPr="00E2695A">
        <w:rPr>
          <w:rFonts w:asciiTheme="minorHAnsi" w:hAnsiTheme="minorHAnsi" w:cstheme="minorHAnsi"/>
          <w:b/>
          <w:i/>
          <w:sz w:val="22"/>
          <w:szCs w:val="22"/>
        </w:rPr>
        <w:t xml:space="preserve"> </w:t>
      </w:r>
      <w:proofErr w:type="spellStart"/>
      <w:r w:rsidRPr="00E2695A">
        <w:rPr>
          <w:rFonts w:asciiTheme="minorHAnsi" w:hAnsiTheme="minorHAnsi" w:cstheme="minorHAnsi"/>
          <w:b/>
          <w:i/>
          <w:sz w:val="22"/>
          <w:szCs w:val="22"/>
        </w:rPr>
        <w:t>škol</w:t>
      </w:r>
      <w:r w:rsidR="004842FA" w:rsidRPr="00E2695A">
        <w:rPr>
          <w:rFonts w:asciiTheme="minorHAnsi" w:hAnsiTheme="minorHAnsi" w:cstheme="minorHAnsi"/>
          <w:b/>
          <w:i/>
          <w:sz w:val="22"/>
          <w:szCs w:val="22"/>
        </w:rPr>
        <w:t>e</w:t>
      </w:r>
      <w:proofErr w:type="spellEnd"/>
      <w:r w:rsidR="004842FA" w:rsidRPr="00E2695A">
        <w:rPr>
          <w:rFonts w:asciiTheme="minorHAnsi" w:hAnsiTheme="minorHAnsi" w:cstheme="minorHAnsi"/>
          <w:b/>
          <w:i/>
          <w:sz w:val="22"/>
          <w:szCs w:val="22"/>
        </w:rPr>
        <w:t xml:space="preserve"> </w:t>
      </w:r>
      <w:proofErr w:type="spellStart"/>
      <w:r w:rsidR="00061868">
        <w:rPr>
          <w:rFonts w:asciiTheme="minorHAnsi" w:hAnsiTheme="minorHAnsi" w:cstheme="minorHAnsi"/>
          <w:sz w:val="22"/>
          <w:szCs w:val="22"/>
        </w:rPr>
        <w:t>sa</w:t>
      </w:r>
      <w:proofErr w:type="spellEnd"/>
      <w:r w:rsidR="00061868">
        <w:rPr>
          <w:rFonts w:asciiTheme="minorHAnsi" w:hAnsiTheme="minorHAnsi" w:cstheme="minorHAnsi"/>
          <w:sz w:val="22"/>
          <w:szCs w:val="22"/>
        </w:rPr>
        <w:t xml:space="preserve"> 152 </w:t>
      </w:r>
      <w:proofErr w:type="spellStart"/>
      <w:r w:rsidR="00061868">
        <w:rPr>
          <w:rFonts w:asciiTheme="minorHAnsi" w:hAnsiTheme="minorHAnsi" w:cstheme="minorHAnsi"/>
          <w:sz w:val="22"/>
          <w:szCs w:val="22"/>
        </w:rPr>
        <w:t>učenika</w:t>
      </w:r>
      <w:proofErr w:type="spellEnd"/>
      <w:r w:rsidR="00061868">
        <w:rPr>
          <w:rFonts w:asciiTheme="minorHAnsi" w:hAnsiTheme="minorHAnsi" w:cstheme="minorHAnsi"/>
          <w:sz w:val="22"/>
          <w:szCs w:val="22"/>
        </w:rPr>
        <w:t xml:space="preserve"> u 2019. </w:t>
      </w:r>
      <w:proofErr w:type="spellStart"/>
      <w:r w:rsidR="00061868">
        <w:rPr>
          <w:rFonts w:asciiTheme="minorHAnsi" w:hAnsiTheme="minorHAnsi" w:cstheme="minorHAnsi"/>
          <w:sz w:val="22"/>
          <w:szCs w:val="22"/>
        </w:rPr>
        <w:t>godini</w:t>
      </w:r>
      <w:proofErr w:type="spellEnd"/>
      <w:r w:rsidR="00815324" w:rsidRPr="00E2695A">
        <w:rPr>
          <w:rFonts w:asciiTheme="minorHAnsi" w:hAnsiTheme="minorHAnsi" w:cstheme="minorHAnsi"/>
          <w:sz w:val="22"/>
          <w:szCs w:val="22"/>
        </w:rPr>
        <w:t xml:space="preserve">. </w:t>
      </w:r>
    </w:p>
    <w:p w14:paraId="2F20FA87" w14:textId="77777777" w:rsidR="00DB5D24" w:rsidRPr="00E2695A" w:rsidRDefault="00DB5D24" w:rsidP="00DB5D24">
      <w:pPr>
        <w:rPr>
          <w:rFonts w:asciiTheme="minorHAnsi" w:hAnsiTheme="minorHAnsi"/>
          <w:b/>
          <w:smallCaps/>
          <w:sz w:val="22"/>
          <w:szCs w:val="22"/>
        </w:rPr>
      </w:pPr>
    </w:p>
    <w:p w14:paraId="26F3DB4F" w14:textId="2FCB5292" w:rsidR="008E333C" w:rsidRPr="00D906E6" w:rsidRDefault="008E333C" w:rsidP="008E333C">
      <w:pPr>
        <w:jc w:val="both"/>
        <w:rPr>
          <w:rFonts w:asciiTheme="minorHAnsi" w:hAnsiTheme="minorHAnsi"/>
          <w:sz w:val="22"/>
          <w:szCs w:val="22"/>
        </w:rPr>
      </w:pPr>
      <w:proofErr w:type="spellStart"/>
      <w:r w:rsidRPr="00CA5164">
        <w:rPr>
          <w:rFonts w:asciiTheme="minorHAnsi" w:hAnsiTheme="minorHAnsi"/>
          <w:b/>
          <w:i/>
          <w:sz w:val="22"/>
          <w:szCs w:val="22"/>
        </w:rPr>
        <w:t>Stopa</w:t>
      </w:r>
      <w:proofErr w:type="spellEnd"/>
      <w:r w:rsidRPr="00CA5164">
        <w:rPr>
          <w:rFonts w:asciiTheme="minorHAnsi" w:hAnsiTheme="minorHAnsi"/>
          <w:b/>
          <w:i/>
          <w:sz w:val="22"/>
          <w:szCs w:val="22"/>
        </w:rPr>
        <w:t xml:space="preserve"> </w:t>
      </w:r>
      <w:proofErr w:type="spellStart"/>
      <w:r w:rsidRPr="00CA5164">
        <w:rPr>
          <w:rFonts w:asciiTheme="minorHAnsi" w:hAnsiTheme="minorHAnsi"/>
          <w:b/>
          <w:i/>
          <w:sz w:val="22"/>
          <w:szCs w:val="22"/>
        </w:rPr>
        <w:t>odustajanja</w:t>
      </w:r>
      <w:proofErr w:type="spellEnd"/>
      <w:r w:rsidRPr="00CA5164">
        <w:rPr>
          <w:rFonts w:asciiTheme="minorHAnsi" w:hAnsiTheme="minorHAnsi"/>
          <w:b/>
          <w:i/>
          <w:sz w:val="22"/>
          <w:szCs w:val="22"/>
        </w:rPr>
        <w:t xml:space="preserve"> </w:t>
      </w:r>
      <w:proofErr w:type="spellStart"/>
      <w:r w:rsidRPr="00CA5164">
        <w:rPr>
          <w:rFonts w:asciiTheme="minorHAnsi" w:hAnsiTheme="minorHAnsi"/>
          <w:b/>
          <w:i/>
          <w:sz w:val="22"/>
          <w:szCs w:val="22"/>
        </w:rPr>
        <w:t>od</w:t>
      </w:r>
      <w:proofErr w:type="spellEnd"/>
      <w:r w:rsidRPr="00CA5164">
        <w:rPr>
          <w:rFonts w:asciiTheme="minorHAnsi" w:hAnsiTheme="minorHAnsi"/>
          <w:b/>
          <w:i/>
          <w:sz w:val="22"/>
          <w:szCs w:val="22"/>
        </w:rPr>
        <w:t xml:space="preserve"> </w:t>
      </w:r>
      <w:proofErr w:type="spellStart"/>
      <w:r w:rsidRPr="00CA5164">
        <w:rPr>
          <w:rFonts w:asciiTheme="minorHAnsi" w:hAnsiTheme="minorHAnsi"/>
          <w:b/>
          <w:i/>
          <w:sz w:val="22"/>
          <w:szCs w:val="22"/>
        </w:rPr>
        <w:t>školovanja</w:t>
      </w:r>
      <w:proofErr w:type="spellEnd"/>
      <w:r w:rsidRPr="00CA5164">
        <w:rPr>
          <w:rFonts w:asciiTheme="minorHAnsi" w:hAnsiTheme="minorHAnsi"/>
          <w:b/>
          <w:i/>
          <w:sz w:val="22"/>
          <w:szCs w:val="22"/>
        </w:rPr>
        <w:t xml:space="preserve"> u </w:t>
      </w:r>
      <w:proofErr w:type="spellStart"/>
      <w:r w:rsidRPr="00CA5164">
        <w:rPr>
          <w:rFonts w:asciiTheme="minorHAnsi" w:hAnsiTheme="minorHAnsi"/>
          <w:b/>
          <w:i/>
          <w:sz w:val="22"/>
          <w:szCs w:val="22"/>
        </w:rPr>
        <w:t>srednjem</w:t>
      </w:r>
      <w:proofErr w:type="spellEnd"/>
      <w:r w:rsidRPr="00CA5164">
        <w:rPr>
          <w:rFonts w:asciiTheme="minorHAnsi" w:hAnsiTheme="minorHAnsi"/>
          <w:b/>
          <w:i/>
          <w:sz w:val="22"/>
          <w:szCs w:val="22"/>
        </w:rPr>
        <w:t xml:space="preserve"> </w:t>
      </w:r>
      <w:proofErr w:type="spellStart"/>
      <w:r w:rsidRPr="00CA5164">
        <w:rPr>
          <w:rFonts w:asciiTheme="minorHAnsi" w:hAnsiTheme="minorHAnsi"/>
          <w:b/>
          <w:i/>
          <w:sz w:val="22"/>
          <w:szCs w:val="22"/>
        </w:rPr>
        <w:t>obrazovanju</w:t>
      </w:r>
      <w:proofErr w:type="spellEnd"/>
      <w:r w:rsidRPr="00CA5164">
        <w:rPr>
          <w:rFonts w:asciiTheme="minorHAnsi" w:hAnsiTheme="minorHAnsi"/>
          <w:b/>
          <w:i/>
          <w:sz w:val="22"/>
          <w:szCs w:val="22"/>
        </w:rPr>
        <w:t xml:space="preserve"> </w:t>
      </w:r>
      <w:proofErr w:type="spellStart"/>
      <w:r w:rsidR="0086088D">
        <w:rPr>
          <w:rFonts w:asciiTheme="minorHAnsi" w:hAnsiTheme="minorHAnsi"/>
          <w:b/>
          <w:i/>
          <w:sz w:val="22"/>
          <w:szCs w:val="22"/>
        </w:rPr>
        <w:t>poslednih</w:t>
      </w:r>
      <w:proofErr w:type="spellEnd"/>
      <w:r w:rsidR="0086088D">
        <w:rPr>
          <w:rFonts w:asciiTheme="minorHAnsi" w:hAnsiTheme="minorHAnsi"/>
          <w:b/>
          <w:i/>
          <w:sz w:val="22"/>
          <w:szCs w:val="22"/>
        </w:rPr>
        <w:t xml:space="preserve"> </w:t>
      </w:r>
      <w:proofErr w:type="spellStart"/>
      <w:r w:rsidR="0086088D">
        <w:rPr>
          <w:rFonts w:asciiTheme="minorHAnsi" w:hAnsiTheme="minorHAnsi"/>
          <w:b/>
          <w:i/>
          <w:sz w:val="22"/>
          <w:szCs w:val="22"/>
        </w:rPr>
        <w:t>godina</w:t>
      </w:r>
      <w:proofErr w:type="spellEnd"/>
      <w:r w:rsidR="0086088D">
        <w:rPr>
          <w:rFonts w:asciiTheme="minorHAnsi" w:hAnsiTheme="minorHAnsi"/>
          <w:b/>
          <w:i/>
          <w:sz w:val="22"/>
          <w:szCs w:val="22"/>
        </w:rPr>
        <w:t xml:space="preserve"> je </w:t>
      </w:r>
      <w:proofErr w:type="spellStart"/>
      <w:r w:rsidR="0086088D">
        <w:rPr>
          <w:rFonts w:asciiTheme="minorHAnsi" w:hAnsiTheme="minorHAnsi"/>
          <w:b/>
          <w:i/>
          <w:sz w:val="22"/>
          <w:szCs w:val="22"/>
        </w:rPr>
        <w:t>ili</w:t>
      </w:r>
      <w:proofErr w:type="spellEnd"/>
      <w:r w:rsidR="0086088D">
        <w:rPr>
          <w:rFonts w:asciiTheme="minorHAnsi" w:hAnsiTheme="minorHAnsi"/>
          <w:b/>
          <w:i/>
          <w:sz w:val="22"/>
          <w:szCs w:val="22"/>
        </w:rPr>
        <w:t xml:space="preserve"> </w:t>
      </w:r>
      <w:proofErr w:type="spellStart"/>
      <w:r w:rsidR="0086088D">
        <w:rPr>
          <w:rFonts w:asciiTheme="minorHAnsi" w:hAnsiTheme="minorHAnsi"/>
          <w:b/>
          <w:i/>
          <w:sz w:val="22"/>
          <w:szCs w:val="22"/>
        </w:rPr>
        <w:t>na</w:t>
      </w:r>
      <w:proofErr w:type="spellEnd"/>
      <w:r w:rsidR="0086088D">
        <w:rPr>
          <w:rFonts w:asciiTheme="minorHAnsi" w:hAnsiTheme="minorHAnsi"/>
          <w:b/>
          <w:i/>
          <w:sz w:val="22"/>
          <w:szCs w:val="22"/>
        </w:rPr>
        <w:t xml:space="preserve"> </w:t>
      </w:r>
      <w:proofErr w:type="spellStart"/>
      <w:r w:rsidR="0086088D">
        <w:rPr>
          <w:rFonts w:asciiTheme="minorHAnsi" w:hAnsiTheme="minorHAnsi"/>
          <w:b/>
          <w:i/>
          <w:sz w:val="22"/>
          <w:szCs w:val="22"/>
        </w:rPr>
        <w:t>nuli</w:t>
      </w:r>
      <w:proofErr w:type="spellEnd"/>
      <w:r w:rsidR="0086088D">
        <w:rPr>
          <w:rFonts w:asciiTheme="minorHAnsi" w:hAnsiTheme="minorHAnsi"/>
          <w:b/>
          <w:i/>
          <w:sz w:val="22"/>
          <w:szCs w:val="22"/>
        </w:rPr>
        <w:t xml:space="preserve"> </w:t>
      </w:r>
      <w:proofErr w:type="spellStart"/>
      <w:r w:rsidR="0086088D">
        <w:rPr>
          <w:rFonts w:asciiTheme="minorHAnsi" w:hAnsiTheme="minorHAnsi"/>
          <w:b/>
          <w:i/>
          <w:sz w:val="22"/>
          <w:szCs w:val="22"/>
        </w:rPr>
        <w:t>i</w:t>
      </w:r>
      <w:proofErr w:type="spellEnd"/>
      <w:r w:rsidR="0086088D">
        <w:rPr>
          <w:rFonts w:asciiTheme="minorHAnsi" w:hAnsiTheme="minorHAnsi"/>
          <w:b/>
          <w:i/>
          <w:sz w:val="22"/>
          <w:szCs w:val="22"/>
        </w:rPr>
        <w:t xml:space="preserve"> </w:t>
      </w:r>
      <w:proofErr w:type="spellStart"/>
      <w:r w:rsidR="0086088D">
        <w:rPr>
          <w:rFonts w:asciiTheme="minorHAnsi" w:hAnsiTheme="minorHAnsi"/>
          <w:b/>
          <w:i/>
          <w:sz w:val="22"/>
          <w:szCs w:val="22"/>
        </w:rPr>
        <w:t>uzima</w:t>
      </w:r>
      <w:proofErr w:type="spellEnd"/>
      <w:r w:rsidR="0086088D">
        <w:rPr>
          <w:rFonts w:asciiTheme="minorHAnsi" w:hAnsiTheme="minorHAnsi"/>
          <w:b/>
          <w:i/>
          <w:sz w:val="22"/>
          <w:szCs w:val="22"/>
        </w:rPr>
        <w:t xml:space="preserve"> </w:t>
      </w:r>
      <w:proofErr w:type="spellStart"/>
      <w:r w:rsidR="0086088D">
        <w:rPr>
          <w:rFonts w:asciiTheme="minorHAnsi" w:hAnsiTheme="minorHAnsi"/>
          <w:b/>
          <w:i/>
          <w:sz w:val="22"/>
          <w:szCs w:val="22"/>
        </w:rPr>
        <w:t>negativne</w:t>
      </w:r>
      <w:proofErr w:type="spellEnd"/>
      <w:r w:rsidR="0086088D">
        <w:rPr>
          <w:rFonts w:asciiTheme="minorHAnsi" w:hAnsiTheme="minorHAnsi"/>
          <w:b/>
          <w:i/>
          <w:sz w:val="22"/>
          <w:szCs w:val="22"/>
        </w:rPr>
        <w:t xml:space="preserve"> </w:t>
      </w:r>
      <w:proofErr w:type="spellStart"/>
      <w:r w:rsidR="0086088D">
        <w:rPr>
          <w:rFonts w:asciiTheme="minorHAnsi" w:hAnsiTheme="minorHAnsi"/>
          <w:b/>
          <w:i/>
          <w:sz w:val="22"/>
          <w:szCs w:val="22"/>
        </w:rPr>
        <w:t>vrednosti</w:t>
      </w:r>
      <w:proofErr w:type="spellEnd"/>
      <w:r w:rsidR="0086088D">
        <w:rPr>
          <w:rFonts w:asciiTheme="minorHAnsi" w:hAnsiTheme="minorHAnsi"/>
          <w:sz w:val="22"/>
          <w:szCs w:val="22"/>
        </w:rPr>
        <w:t xml:space="preserve">, </w:t>
      </w:r>
      <w:proofErr w:type="spellStart"/>
      <w:r w:rsidR="0086088D">
        <w:rPr>
          <w:rFonts w:asciiTheme="minorHAnsi" w:hAnsiTheme="minorHAnsi"/>
          <w:sz w:val="22"/>
          <w:szCs w:val="22"/>
        </w:rPr>
        <w:t>što</w:t>
      </w:r>
      <w:proofErr w:type="spellEnd"/>
      <w:r w:rsidR="0086088D">
        <w:rPr>
          <w:rFonts w:asciiTheme="minorHAnsi" w:hAnsiTheme="minorHAnsi"/>
          <w:sz w:val="22"/>
          <w:szCs w:val="22"/>
        </w:rPr>
        <w:t xml:space="preserve"> bi </w:t>
      </w:r>
      <w:proofErr w:type="spellStart"/>
      <w:r w:rsidR="0086088D">
        <w:rPr>
          <w:rFonts w:asciiTheme="minorHAnsi" w:hAnsiTheme="minorHAnsi"/>
          <w:sz w:val="22"/>
          <w:szCs w:val="22"/>
        </w:rPr>
        <w:t>zapravo</w:t>
      </w:r>
      <w:proofErr w:type="spellEnd"/>
      <w:r w:rsidR="0086088D">
        <w:rPr>
          <w:rFonts w:asciiTheme="minorHAnsi" w:hAnsiTheme="minorHAnsi"/>
          <w:sz w:val="22"/>
          <w:szCs w:val="22"/>
        </w:rPr>
        <w:t xml:space="preserve"> </w:t>
      </w:r>
      <w:proofErr w:type="spellStart"/>
      <w:r w:rsidR="0086088D">
        <w:rPr>
          <w:rFonts w:asciiTheme="minorHAnsi" w:hAnsiTheme="minorHAnsi"/>
          <w:sz w:val="22"/>
          <w:szCs w:val="22"/>
        </w:rPr>
        <w:t>značilo</w:t>
      </w:r>
      <w:proofErr w:type="spellEnd"/>
      <w:r w:rsidR="0086088D">
        <w:rPr>
          <w:rFonts w:asciiTheme="minorHAnsi" w:hAnsiTheme="minorHAnsi"/>
          <w:sz w:val="22"/>
          <w:szCs w:val="22"/>
        </w:rPr>
        <w:t xml:space="preserve"> da </w:t>
      </w:r>
      <w:proofErr w:type="spellStart"/>
      <w:r w:rsidR="0086088D">
        <w:rPr>
          <w:rFonts w:asciiTheme="minorHAnsi" w:hAnsiTheme="minorHAnsi"/>
          <w:sz w:val="22"/>
          <w:szCs w:val="22"/>
        </w:rPr>
        <w:t>tokom</w:t>
      </w:r>
      <w:proofErr w:type="spellEnd"/>
      <w:r w:rsidR="0086088D">
        <w:rPr>
          <w:rFonts w:asciiTheme="minorHAnsi" w:hAnsiTheme="minorHAnsi"/>
          <w:sz w:val="22"/>
          <w:szCs w:val="22"/>
        </w:rPr>
        <w:t xml:space="preserve"> </w:t>
      </w:r>
      <w:proofErr w:type="spellStart"/>
      <w:r w:rsidR="0086088D">
        <w:rPr>
          <w:rFonts w:asciiTheme="minorHAnsi" w:hAnsiTheme="minorHAnsi"/>
          <w:sz w:val="22"/>
          <w:szCs w:val="22"/>
        </w:rPr>
        <w:t>godine</w:t>
      </w:r>
      <w:proofErr w:type="spellEnd"/>
      <w:r w:rsidR="0086088D">
        <w:rPr>
          <w:rFonts w:asciiTheme="minorHAnsi" w:hAnsiTheme="minorHAnsi"/>
          <w:sz w:val="22"/>
          <w:szCs w:val="22"/>
        </w:rPr>
        <w:t xml:space="preserve"> </w:t>
      </w:r>
      <w:proofErr w:type="spellStart"/>
      <w:r w:rsidR="0086088D">
        <w:rPr>
          <w:rFonts w:asciiTheme="minorHAnsi" w:hAnsiTheme="minorHAnsi"/>
          <w:sz w:val="22"/>
          <w:szCs w:val="22"/>
        </w:rPr>
        <w:t>deca</w:t>
      </w:r>
      <w:proofErr w:type="spellEnd"/>
      <w:r w:rsidR="0086088D">
        <w:rPr>
          <w:rFonts w:asciiTheme="minorHAnsi" w:hAnsiTheme="minorHAnsi"/>
          <w:sz w:val="22"/>
          <w:szCs w:val="22"/>
        </w:rPr>
        <w:t xml:space="preserve"> </w:t>
      </w:r>
      <w:proofErr w:type="spellStart"/>
      <w:r w:rsidR="0086088D">
        <w:rPr>
          <w:rFonts w:asciiTheme="minorHAnsi" w:hAnsiTheme="minorHAnsi"/>
          <w:sz w:val="22"/>
          <w:szCs w:val="22"/>
        </w:rPr>
        <w:t>ulaze</w:t>
      </w:r>
      <w:proofErr w:type="spellEnd"/>
      <w:r w:rsidR="0086088D">
        <w:rPr>
          <w:rFonts w:asciiTheme="minorHAnsi" w:hAnsiTheme="minorHAnsi"/>
          <w:sz w:val="22"/>
          <w:szCs w:val="22"/>
        </w:rPr>
        <w:t xml:space="preserve"> u </w:t>
      </w:r>
      <w:proofErr w:type="spellStart"/>
      <w:r w:rsidR="0086088D">
        <w:rPr>
          <w:rFonts w:asciiTheme="minorHAnsi" w:hAnsiTheme="minorHAnsi"/>
          <w:sz w:val="22"/>
          <w:szCs w:val="22"/>
        </w:rPr>
        <w:t>sistem</w:t>
      </w:r>
      <w:proofErr w:type="spellEnd"/>
      <w:r w:rsidR="0086088D">
        <w:rPr>
          <w:rFonts w:asciiTheme="minorHAnsi" w:hAnsiTheme="minorHAnsi"/>
          <w:sz w:val="22"/>
          <w:szCs w:val="22"/>
        </w:rPr>
        <w:t xml:space="preserve"> </w:t>
      </w:r>
      <w:proofErr w:type="spellStart"/>
      <w:r w:rsidR="0086088D">
        <w:rPr>
          <w:rFonts w:asciiTheme="minorHAnsi" w:hAnsiTheme="minorHAnsi"/>
          <w:sz w:val="22"/>
          <w:szCs w:val="22"/>
        </w:rPr>
        <w:t>srednjoškolskog</w:t>
      </w:r>
      <w:proofErr w:type="spellEnd"/>
      <w:r w:rsidR="0086088D">
        <w:rPr>
          <w:rFonts w:asciiTheme="minorHAnsi" w:hAnsiTheme="minorHAnsi"/>
          <w:sz w:val="22"/>
          <w:szCs w:val="22"/>
        </w:rPr>
        <w:t xml:space="preserve"> </w:t>
      </w:r>
      <w:proofErr w:type="spellStart"/>
      <w:r w:rsidR="0086088D">
        <w:rPr>
          <w:rFonts w:asciiTheme="minorHAnsi" w:hAnsiTheme="minorHAnsi"/>
          <w:sz w:val="22"/>
          <w:szCs w:val="22"/>
        </w:rPr>
        <w:t>obrazovanja</w:t>
      </w:r>
      <w:proofErr w:type="spellEnd"/>
      <w:r w:rsidR="0086088D">
        <w:rPr>
          <w:rFonts w:asciiTheme="minorHAnsi" w:hAnsiTheme="minorHAnsi"/>
          <w:sz w:val="22"/>
          <w:szCs w:val="22"/>
        </w:rPr>
        <w:t xml:space="preserve"> </w:t>
      </w:r>
      <w:proofErr w:type="spellStart"/>
      <w:r w:rsidR="0086088D">
        <w:rPr>
          <w:rFonts w:asciiTheme="minorHAnsi" w:hAnsiTheme="minorHAnsi"/>
          <w:sz w:val="22"/>
          <w:szCs w:val="22"/>
        </w:rPr>
        <w:t>pa</w:t>
      </w:r>
      <w:proofErr w:type="spellEnd"/>
      <w:r w:rsidR="0086088D">
        <w:rPr>
          <w:rFonts w:asciiTheme="minorHAnsi" w:hAnsiTheme="minorHAnsi"/>
          <w:sz w:val="22"/>
          <w:szCs w:val="22"/>
        </w:rPr>
        <w:t xml:space="preserve"> </w:t>
      </w:r>
      <w:proofErr w:type="spellStart"/>
      <w:r w:rsidR="0086088D">
        <w:rPr>
          <w:rFonts w:asciiTheme="minorHAnsi" w:hAnsiTheme="minorHAnsi"/>
          <w:sz w:val="22"/>
          <w:szCs w:val="22"/>
        </w:rPr>
        <w:t>ih</w:t>
      </w:r>
      <w:proofErr w:type="spellEnd"/>
      <w:r w:rsidR="0086088D">
        <w:rPr>
          <w:rFonts w:asciiTheme="minorHAnsi" w:hAnsiTheme="minorHAnsi"/>
          <w:sz w:val="22"/>
          <w:szCs w:val="22"/>
        </w:rPr>
        <w:t xml:space="preserve"> je </w:t>
      </w:r>
      <w:proofErr w:type="spellStart"/>
      <w:r w:rsidR="0086088D">
        <w:rPr>
          <w:rFonts w:asciiTheme="minorHAnsi" w:hAnsiTheme="minorHAnsi"/>
          <w:sz w:val="22"/>
          <w:szCs w:val="22"/>
        </w:rPr>
        <w:t>više</w:t>
      </w:r>
      <w:proofErr w:type="spellEnd"/>
      <w:r w:rsidR="0086088D">
        <w:rPr>
          <w:rFonts w:asciiTheme="minorHAnsi" w:hAnsiTheme="minorHAnsi"/>
          <w:sz w:val="22"/>
          <w:szCs w:val="22"/>
        </w:rPr>
        <w:t xml:space="preserve"> </w:t>
      </w:r>
      <w:proofErr w:type="spellStart"/>
      <w:r w:rsidR="0086088D">
        <w:rPr>
          <w:rFonts w:asciiTheme="minorHAnsi" w:hAnsiTheme="minorHAnsi"/>
          <w:sz w:val="22"/>
          <w:szCs w:val="22"/>
        </w:rPr>
        <w:t>nego</w:t>
      </w:r>
      <w:proofErr w:type="spellEnd"/>
      <w:r w:rsidR="0086088D">
        <w:rPr>
          <w:rFonts w:asciiTheme="minorHAnsi" w:hAnsiTheme="minorHAnsi"/>
          <w:sz w:val="22"/>
          <w:szCs w:val="22"/>
        </w:rPr>
        <w:t xml:space="preserve"> </w:t>
      </w:r>
      <w:proofErr w:type="spellStart"/>
      <w:r w:rsidR="0086088D">
        <w:rPr>
          <w:rFonts w:asciiTheme="minorHAnsi" w:hAnsiTheme="minorHAnsi"/>
          <w:sz w:val="22"/>
          <w:szCs w:val="22"/>
        </w:rPr>
        <w:t>na</w:t>
      </w:r>
      <w:proofErr w:type="spellEnd"/>
      <w:r w:rsidR="0086088D">
        <w:rPr>
          <w:rFonts w:asciiTheme="minorHAnsi" w:hAnsiTheme="minorHAnsi"/>
          <w:sz w:val="22"/>
          <w:szCs w:val="22"/>
        </w:rPr>
        <w:t xml:space="preserve"> </w:t>
      </w:r>
      <w:proofErr w:type="spellStart"/>
      <w:r w:rsidR="0086088D">
        <w:rPr>
          <w:rFonts w:asciiTheme="minorHAnsi" w:hAnsiTheme="minorHAnsi"/>
          <w:sz w:val="22"/>
          <w:szCs w:val="22"/>
        </w:rPr>
        <w:t>početku</w:t>
      </w:r>
      <w:proofErr w:type="spellEnd"/>
      <w:r w:rsidR="0086088D">
        <w:rPr>
          <w:rFonts w:asciiTheme="minorHAnsi" w:hAnsiTheme="minorHAnsi"/>
          <w:sz w:val="22"/>
          <w:szCs w:val="22"/>
        </w:rPr>
        <w:t xml:space="preserve">. </w:t>
      </w:r>
      <w:proofErr w:type="spellStart"/>
      <w:r w:rsidR="0086088D">
        <w:rPr>
          <w:rFonts w:asciiTheme="minorHAnsi" w:hAnsiTheme="minorHAnsi"/>
          <w:sz w:val="22"/>
          <w:szCs w:val="22"/>
        </w:rPr>
        <w:t>Tako</w:t>
      </w:r>
      <w:proofErr w:type="spellEnd"/>
      <w:r w:rsidR="0086088D">
        <w:rPr>
          <w:rFonts w:asciiTheme="minorHAnsi" w:hAnsiTheme="minorHAnsi"/>
          <w:sz w:val="22"/>
          <w:szCs w:val="22"/>
        </w:rPr>
        <w:t xml:space="preserve"> </w:t>
      </w:r>
      <w:proofErr w:type="spellStart"/>
      <w:r w:rsidR="0086088D">
        <w:rPr>
          <w:rFonts w:asciiTheme="minorHAnsi" w:hAnsiTheme="minorHAnsi"/>
          <w:sz w:val="22"/>
          <w:szCs w:val="22"/>
        </w:rPr>
        <w:t>gledano</w:t>
      </w:r>
      <w:proofErr w:type="spellEnd"/>
      <w:r w:rsidR="0086088D">
        <w:rPr>
          <w:rFonts w:asciiTheme="minorHAnsi" w:hAnsiTheme="minorHAnsi"/>
          <w:sz w:val="22"/>
          <w:szCs w:val="22"/>
        </w:rPr>
        <w:t xml:space="preserve"> </w:t>
      </w:r>
      <w:proofErr w:type="spellStart"/>
      <w:r w:rsidR="0086088D">
        <w:rPr>
          <w:rFonts w:asciiTheme="minorHAnsi" w:hAnsiTheme="minorHAnsi"/>
          <w:sz w:val="22"/>
          <w:szCs w:val="22"/>
        </w:rPr>
        <w:t>situacija</w:t>
      </w:r>
      <w:proofErr w:type="spellEnd"/>
      <w:r w:rsidR="0086088D">
        <w:rPr>
          <w:rFonts w:asciiTheme="minorHAnsi" w:hAnsiTheme="minorHAnsi"/>
          <w:sz w:val="22"/>
          <w:szCs w:val="22"/>
        </w:rPr>
        <w:t xml:space="preserve"> </w:t>
      </w:r>
      <w:proofErr w:type="spellStart"/>
      <w:r w:rsidR="0086088D">
        <w:rPr>
          <w:rFonts w:asciiTheme="minorHAnsi" w:hAnsiTheme="minorHAnsi"/>
          <w:sz w:val="22"/>
          <w:szCs w:val="22"/>
        </w:rPr>
        <w:t>sa</w:t>
      </w:r>
      <w:proofErr w:type="spellEnd"/>
      <w:r w:rsidR="0086088D">
        <w:rPr>
          <w:rFonts w:asciiTheme="minorHAnsi" w:hAnsiTheme="minorHAnsi"/>
          <w:sz w:val="22"/>
          <w:szCs w:val="22"/>
        </w:rPr>
        <w:t xml:space="preserve"> </w:t>
      </w:r>
      <w:proofErr w:type="spellStart"/>
      <w:r w:rsidR="0086088D">
        <w:rPr>
          <w:rFonts w:asciiTheme="minorHAnsi" w:hAnsiTheme="minorHAnsi"/>
          <w:sz w:val="22"/>
          <w:szCs w:val="22"/>
        </w:rPr>
        <w:t>srednjim</w:t>
      </w:r>
      <w:proofErr w:type="spellEnd"/>
      <w:r w:rsidR="0086088D">
        <w:rPr>
          <w:rFonts w:asciiTheme="minorHAnsi" w:hAnsiTheme="minorHAnsi"/>
          <w:sz w:val="22"/>
          <w:szCs w:val="22"/>
        </w:rPr>
        <w:t xml:space="preserve"> </w:t>
      </w:r>
      <w:proofErr w:type="spellStart"/>
      <w:r w:rsidR="0086088D">
        <w:rPr>
          <w:rFonts w:asciiTheme="minorHAnsi" w:hAnsiTheme="minorHAnsi"/>
          <w:sz w:val="22"/>
          <w:szCs w:val="22"/>
        </w:rPr>
        <w:t>obrazovanjem</w:t>
      </w:r>
      <w:proofErr w:type="spellEnd"/>
      <w:r w:rsidR="0086088D">
        <w:rPr>
          <w:rFonts w:asciiTheme="minorHAnsi" w:hAnsiTheme="minorHAnsi"/>
          <w:sz w:val="22"/>
          <w:szCs w:val="22"/>
        </w:rPr>
        <w:t xml:space="preserve"> u </w:t>
      </w:r>
      <w:proofErr w:type="spellStart"/>
      <w:r w:rsidR="0086088D">
        <w:rPr>
          <w:rFonts w:asciiTheme="minorHAnsi" w:hAnsiTheme="minorHAnsi"/>
          <w:sz w:val="22"/>
          <w:szCs w:val="22"/>
        </w:rPr>
        <w:t>Baču</w:t>
      </w:r>
      <w:proofErr w:type="spellEnd"/>
      <w:r w:rsidR="0086088D">
        <w:rPr>
          <w:rFonts w:asciiTheme="minorHAnsi" w:hAnsiTheme="minorHAnsi"/>
          <w:sz w:val="22"/>
          <w:szCs w:val="22"/>
        </w:rPr>
        <w:t xml:space="preserve"> </w:t>
      </w:r>
      <w:proofErr w:type="spellStart"/>
      <w:r w:rsidR="0086088D">
        <w:rPr>
          <w:rFonts w:asciiTheme="minorHAnsi" w:hAnsiTheme="minorHAnsi"/>
          <w:sz w:val="22"/>
          <w:szCs w:val="22"/>
        </w:rPr>
        <w:t>i</w:t>
      </w:r>
      <w:proofErr w:type="spellEnd"/>
      <w:r w:rsidR="0086088D">
        <w:rPr>
          <w:rFonts w:asciiTheme="minorHAnsi" w:hAnsiTheme="minorHAnsi"/>
          <w:sz w:val="22"/>
          <w:szCs w:val="22"/>
        </w:rPr>
        <w:t xml:space="preserve"> je </w:t>
      </w:r>
      <w:proofErr w:type="spellStart"/>
      <w:r w:rsidR="0086088D">
        <w:rPr>
          <w:rFonts w:asciiTheme="minorHAnsi" w:hAnsiTheme="minorHAnsi"/>
          <w:sz w:val="22"/>
          <w:szCs w:val="22"/>
        </w:rPr>
        <w:t>značajno</w:t>
      </w:r>
      <w:proofErr w:type="spellEnd"/>
      <w:r w:rsidR="0086088D">
        <w:rPr>
          <w:rFonts w:asciiTheme="minorHAnsi" w:hAnsiTheme="minorHAnsi"/>
          <w:sz w:val="22"/>
          <w:szCs w:val="22"/>
        </w:rPr>
        <w:t xml:space="preserve"> </w:t>
      </w:r>
      <w:proofErr w:type="spellStart"/>
      <w:r w:rsidR="0086088D">
        <w:rPr>
          <w:rFonts w:asciiTheme="minorHAnsi" w:hAnsiTheme="minorHAnsi"/>
          <w:sz w:val="22"/>
          <w:szCs w:val="22"/>
        </w:rPr>
        <w:t>povoljnija</w:t>
      </w:r>
      <w:proofErr w:type="spellEnd"/>
      <w:r w:rsidR="0086088D">
        <w:rPr>
          <w:rFonts w:asciiTheme="minorHAnsi" w:hAnsiTheme="minorHAnsi"/>
          <w:sz w:val="22"/>
          <w:szCs w:val="22"/>
        </w:rPr>
        <w:t xml:space="preserve"> u </w:t>
      </w:r>
      <w:proofErr w:type="spellStart"/>
      <w:r w:rsidR="0086088D">
        <w:rPr>
          <w:rFonts w:asciiTheme="minorHAnsi" w:hAnsiTheme="minorHAnsi"/>
          <w:sz w:val="22"/>
          <w:szCs w:val="22"/>
        </w:rPr>
        <w:t>poređenju</w:t>
      </w:r>
      <w:proofErr w:type="spellEnd"/>
      <w:r w:rsidR="0086088D">
        <w:rPr>
          <w:rFonts w:asciiTheme="minorHAnsi" w:hAnsiTheme="minorHAnsi"/>
          <w:sz w:val="22"/>
          <w:szCs w:val="22"/>
        </w:rPr>
        <w:t xml:space="preserve"> </w:t>
      </w:r>
      <w:proofErr w:type="spellStart"/>
      <w:r w:rsidR="0086088D">
        <w:rPr>
          <w:rFonts w:asciiTheme="minorHAnsi" w:hAnsiTheme="minorHAnsi"/>
          <w:sz w:val="22"/>
          <w:szCs w:val="22"/>
        </w:rPr>
        <w:t>sa</w:t>
      </w:r>
      <w:proofErr w:type="spellEnd"/>
      <w:r w:rsidR="0086088D">
        <w:rPr>
          <w:rFonts w:asciiTheme="minorHAnsi" w:hAnsiTheme="minorHAnsi"/>
          <w:sz w:val="22"/>
          <w:szCs w:val="22"/>
        </w:rPr>
        <w:t xml:space="preserve"> </w:t>
      </w:r>
      <w:proofErr w:type="spellStart"/>
      <w:r w:rsidR="0086088D">
        <w:rPr>
          <w:rFonts w:asciiTheme="minorHAnsi" w:hAnsiTheme="minorHAnsi"/>
          <w:sz w:val="22"/>
          <w:szCs w:val="22"/>
        </w:rPr>
        <w:t>prosekom</w:t>
      </w:r>
      <w:proofErr w:type="spellEnd"/>
      <w:r w:rsidR="0086088D">
        <w:rPr>
          <w:rFonts w:asciiTheme="minorHAnsi" w:hAnsiTheme="minorHAnsi"/>
          <w:sz w:val="22"/>
          <w:szCs w:val="22"/>
        </w:rPr>
        <w:t xml:space="preserve"> </w:t>
      </w:r>
      <w:proofErr w:type="spellStart"/>
      <w:r w:rsidR="0086088D">
        <w:rPr>
          <w:rFonts w:asciiTheme="minorHAnsi" w:hAnsiTheme="minorHAnsi"/>
          <w:sz w:val="22"/>
          <w:szCs w:val="22"/>
        </w:rPr>
        <w:t>Srbije</w:t>
      </w:r>
      <w:proofErr w:type="spellEnd"/>
      <w:r w:rsidR="0086088D">
        <w:rPr>
          <w:rFonts w:asciiTheme="minorHAnsi" w:hAnsiTheme="minorHAnsi"/>
          <w:sz w:val="22"/>
          <w:szCs w:val="22"/>
        </w:rPr>
        <w:t xml:space="preserve">. </w:t>
      </w:r>
      <w:proofErr w:type="spellStart"/>
      <w:r w:rsidR="0086088D">
        <w:rPr>
          <w:rFonts w:asciiTheme="minorHAnsi" w:hAnsiTheme="minorHAnsi"/>
          <w:sz w:val="22"/>
          <w:szCs w:val="22"/>
        </w:rPr>
        <w:t>Početkom</w:t>
      </w:r>
      <w:proofErr w:type="spellEnd"/>
      <w:r w:rsidR="0086088D">
        <w:rPr>
          <w:rFonts w:asciiTheme="minorHAnsi" w:hAnsiTheme="minorHAnsi"/>
          <w:sz w:val="22"/>
          <w:szCs w:val="22"/>
        </w:rPr>
        <w:t xml:space="preserve"> </w:t>
      </w:r>
      <w:proofErr w:type="spellStart"/>
      <w:r w:rsidR="0086088D">
        <w:rPr>
          <w:rFonts w:asciiTheme="minorHAnsi" w:hAnsiTheme="minorHAnsi"/>
          <w:sz w:val="22"/>
          <w:szCs w:val="22"/>
        </w:rPr>
        <w:t>prošle</w:t>
      </w:r>
      <w:proofErr w:type="spellEnd"/>
      <w:r w:rsidR="0086088D">
        <w:rPr>
          <w:rFonts w:asciiTheme="minorHAnsi" w:hAnsiTheme="minorHAnsi"/>
          <w:sz w:val="22"/>
          <w:szCs w:val="22"/>
        </w:rPr>
        <w:t xml:space="preserve"> </w:t>
      </w:r>
      <w:proofErr w:type="spellStart"/>
      <w:r w:rsidR="0086088D">
        <w:rPr>
          <w:rFonts w:asciiTheme="minorHAnsi" w:hAnsiTheme="minorHAnsi"/>
          <w:sz w:val="22"/>
          <w:szCs w:val="22"/>
        </w:rPr>
        <w:t>decenije</w:t>
      </w:r>
      <w:proofErr w:type="spellEnd"/>
      <w:r w:rsidR="0086088D">
        <w:rPr>
          <w:rFonts w:asciiTheme="minorHAnsi" w:hAnsiTheme="minorHAnsi"/>
          <w:sz w:val="22"/>
          <w:szCs w:val="22"/>
        </w:rPr>
        <w:t xml:space="preserve"> je </w:t>
      </w:r>
      <w:proofErr w:type="spellStart"/>
      <w:r w:rsidR="0086088D">
        <w:rPr>
          <w:rFonts w:asciiTheme="minorHAnsi" w:hAnsiTheme="minorHAnsi"/>
          <w:sz w:val="22"/>
          <w:szCs w:val="22"/>
        </w:rPr>
        <w:t>pak</w:t>
      </w:r>
      <w:proofErr w:type="spellEnd"/>
      <w:r w:rsidR="0086088D">
        <w:rPr>
          <w:rFonts w:asciiTheme="minorHAnsi" w:hAnsiTheme="minorHAnsi"/>
          <w:sz w:val="22"/>
          <w:szCs w:val="22"/>
        </w:rPr>
        <w:t xml:space="preserve"> </w:t>
      </w:r>
      <w:proofErr w:type="spellStart"/>
      <w:r w:rsidR="0086088D">
        <w:rPr>
          <w:rFonts w:asciiTheme="minorHAnsi" w:hAnsiTheme="minorHAnsi"/>
          <w:sz w:val="22"/>
          <w:szCs w:val="22"/>
        </w:rPr>
        <w:t>stopa</w:t>
      </w:r>
      <w:proofErr w:type="spellEnd"/>
      <w:r w:rsidR="0086088D">
        <w:rPr>
          <w:rFonts w:asciiTheme="minorHAnsi" w:hAnsiTheme="minorHAnsi"/>
          <w:sz w:val="22"/>
          <w:szCs w:val="22"/>
        </w:rPr>
        <w:t xml:space="preserve"> </w:t>
      </w:r>
      <w:proofErr w:type="spellStart"/>
      <w:r w:rsidR="0086088D">
        <w:rPr>
          <w:rFonts w:asciiTheme="minorHAnsi" w:hAnsiTheme="minorHAnsi"/>
          <w:sz w:val="22"/>
          <w:szCs w:val="22"/>
        </w:rPr>
        <w:t>odustajanja</w:t>
      </w:r>
      <w:proofErr w:type="spellEnd"/>
      <w:r w:rsidR="0086088D">
        <w:rPr>
          <w:rFonts w:asciiTheme="minorHAnsi" w:hAnsiTheme="minorHAnsi"/>
          <w:sz w:val="22"/>
          <w:szCs w:val="22"/>
        </w:rPr>
        <w:t xml:space="preserve"> </w:t>
      </w:r>
      <w:proofErr w:type="spellStart"/>
      <w:r w:rsidR="0086088D">
        <w:rPr>
          <w:rFonts w:asciiTheme="minorHAnsi" w:hAnsiTheme="minorHAnsi"/>
          <w:sz w:val="22"/>
          <w:szCs w:val="22"/>
        </w:rPr>
        <w:t>bila</w:t>
      </w:r>
      <w:proofErr w:type="spellEnd"/>
      <w:r w:rsidR="0086088D">
        <w:rPr>
          <w:rFonts w:asciiTheme="minorHAnsi" w:hAnsiTheme="minorHAnsi"/>
          <w:sz w:val="22"/>
          <w:szCs w:val="22"/>
        </w:rPr>
        <w:t xml:space="preserve"> </w:t>
      </w:r>
      <w:proofErr w:type="spellStart"/>
      <w:r w:rsidR="0086088D">
        <w:rPr>
          <w:rFonts w:asciiTheme="minorHAnsi" w:hAnsiTheme="minorHAnsi"/>
          <w:sz w:val="22"/>
          <w:szCs w:val="22"/>
        </w:rPr>
        <w:t>izuzetno</w:t>
      </w:r>
      <w:proofErr w:type="spellEnd"/>
      <w:r w:rsidR="0086088D">
        <w:rPr>
          <w:rFonts w:asciiTheme="minorHAnsi" w:hAnsiTheme="minorHAnsi"/>
          <w:sz w:val="22"/>
          <w:szCs w:val="22"/>
        </w:rPr>
        <w:t xml:space="preserve"> </w:t>
      </w:r>
      <w:proofErr w:type="spellStart"/>
      <w:r w:rsidR="0086088D">
        <w:rPr>
          <w:rFonts w:asciiTheme="minorHAnsi" w:hAnsiTheme="minorHAnsi"/>
          <w:sz w:val="22"/>
          <w:szCs w:val="22"/>
        </w:rPr>
        <w:t>visoka</w:t>
      </w:r>
      <w:proofErr w:type="spellEnd"/>
      <w:r w:rsidR="0086088D">
        <w:rPr>
          <w:rFonts w:asciiTheme="minorHAnsi" w:hAnsiTheme="minorHAnsi"/>
          <w:sz w:val="22"/>
          <w:szCs w:val="22"/>
        </w:rPr>
        <w:t xml:space="preserve">. </w:t>
      </w:r>
      <w:proofErr w:type="spellStart"/>
      <w:r w:rsidR="0086088D">
        <w:rPr>
          <w:rFonts w:asciiTheme="minorHAnsi" w:hAnsiTheme="minorHAnsi"/>
          <w:sz w:val="22"/>
          <w:szCs w:val="22"/>
        </w:rPr>
        <w:t>Imajući</w:t>
      </w:r>
      <w:proofErr w:type="spellEnd"/>
      <w:r w:rsidR="0086088D">
        <w:rPr>
          <w:rFonts w:asciiTheme="minorHAnsi" w:hAnsiTheme="minorHAnsi"/>
          <w:sz w:val="22"/>
          <w:szCs w:val="22"/>
        </w:rPr>
        <w:t xml:space="preserve"> u </w:t>
      </w:r>
      <w:proofErr w:type="spellStart"/>
      <w:r w:rsidR="0086088D">
        <w:rPr>
          <w:rFonts w:asciiTheme="minorHAnsi" w:hAnsiTheme="minorHAnsi"/>
          <w:sz w:val="22"/>
          <w:szCs w:val="22"/>
        </w:rPr>
        <w:t>vi</w:t>
      </w:r>
      <w:r w:rsidR="00B22586">
        <w:rPr>
          <w:rFonts w:asciiTheme="minorHAnsi" w:hAnsiTheme="minorHAnsi"/>
          <w:sz w:val="22"/>
          <w:szCs w:val="22"/>
        </w:rPr>
        <w:t>du</w:t>
      </w:r>
      <w:proofErr w:type="spellEnd"/>
      <w:r w:rsidR="00B22586">
        <w:rPr>
          <w:rFonts w:asciiTheme="minorHAnsi" w:hAnsiTheme="minorHAnsi"/>
          <w:sz w:val="22"/>
          <w:szCs w:val="22"/>
        </w:rPr>
        <w:t xml:space="preserve"> </w:t>
      </w:r>
      <w:proofErr w:type="spellStart"/>
      <w:r w:rsidR="00B22586">
        <w:rPr>
          <w:rFonts w:asciiTheme="minorHAnsi" w:hAnsiTheme="minorHAnsi"/>
          <w:sz w:val="22"/>
          <w:szCs w:val="22"/>
        </w:rPr>
        <w:t>ovako</w:t>
      </w:r>
      <w:proofErr w:type="spellEnd"/>
      <w:r w:rsidR="00B22586">
        <w:rPr>
          <w:rFonts w:asciiTheme="minorHAnsi" w:hAnsiTheme="minorHAnsi"/>
          <w:sz w:val="22"/>
          <w:szCs w:val="22"/>
        </w:rPr>
        <w:t xml:space="preserve"> </w:t>
      </w:r>
      <w:proofErr w:type="spellStart"/>
      <w:r w:rsidR="00B22586">
        <w:rPr>
          <w:rFonts w:asciiTheme="minorHAnsi" w:hAnsiTheme="minorHAnsi"/>
          <w:sz w:val="22"/>
          <w:szCs w:val="22"/>
        </w:rPr>
        <w:t>velike</w:t>
      </w:r>
      <w:proofErr w:type="spellEnd"/>
      <w:r w:rsidR="00B22586">
        <w:rPr>
          <w:rFonts w:asciiTheme="minorHAnsi" w:hAnsiTheme="minorHAnsi"/>
          <w:sz w:val="22"/>
          <w:szCs w:val="22"/>
        </w:rPr>
        <w:t xml:space="preserve"> </w:t>
      </w:r>
      <w:proofErr w:type="spellStart"/>
      <w:r w:rsidR="00B22586">
        <w:rPr>
          <w:rFonts w:asciiTheme="minorHAnsi" w:hAnsiTheme="minorHAnsi"/>
          <w:sz w:val="22"/>
          <w:szCs w:val="22"/>
        </w:rPr>
        <w:t>fluktuacije</w:t>
      </w:r>
      <w:proofErr w:type="spellEnd"/>
      <w:r w:rsidR="00B22586">
        <w:rPr>
          <w:rFonts w:asciiTheme="minorHAnsi" w:hAnsiTheme="minorHAnsi"/>
          <w:sz w:val="22"/>
          <w:szCs w:val="22"/>
        </w:rPr>
        <w:t xml:space="preserve"> </w:t>
      </w:r>
      <w:proofErr w:type="spellStart"/>
      <w:r w:rsidR="00B22586">
        <w:rPr>
          <w:rFonts w:asciiTheme="minorHAnsi" w:hAnsiTheme="minorHAnsi"/>
          <w:sz w:val="22"/>
          <w:szCs w:val="22"/>
        </w:rPr>
        <w:t>podataka</w:t>
      </w:r>
      <w:proofErr w:type="spellEnd"/>
      <w:r w:rsidR="00B22586">
        <w:rPr>
          <w:rFonts w:asciiTheme="minorHAnsi" w:hAnsiTheme="minorHAnsi"/>
          <w:sz w:val="22"/>
          <w:szCs w:val="22"/>
        </w:rPr>
        <w:t xml:space="preserve"> </w:t>
      </w:r>
      <w:proofErr w:type="spellStart"/>
      <w:r w:rsidR="00B22586">
        <w:rPr>
          <w:rFonts w:asciiTheme="minorHAnsi" w:hAnsiTheme="minorHAnsi"/>
          <w:sz w:val="22"/>
          <w:szCs w:val="22"/>
        </w:rPr>
        <w:t>konačne</w:t>
      </w:r>
      <w:proofErr w:type="spellEnd"/>
      <w:r w:rsidR="00B22586">
        <w:rPr>
          <w:rFonts w:asciiTheme="minorHAnsi" w:hAnsiTheme="minorHAnsi"/>
          <w:sz w:val="22"/>
          <w:szCs w:val="22"/>
        </w:rPr>
        <w:t xml:space="preserve"> </w:t>
      </w:r>
      <w:proofErr w:type="spellStart"/>
      <w:r w:rsidR="00B22586">
        <w:rPr>
          <w:rFonts w:asciiTheme="minorHAnsi" w:hAnsiTheme="minorHAnsi"/>
          <w:sz w:val="22"/>
          <w:szCs w:val="22"/>
        </w:rPr>
        <w:t>zaključke</w:t>
      </w:r>
      <w:proofErr w:type="spellEnd"/>
      <w:r w:rsidR="00B22586">
        <w:rPr>
          <w:rFonts w:asciiTheme="minorHAnsi" w:hAnsiTheme="minorHAnsi"/>
          <w:sz w:val="22"/>
          <w:szCs w:val="22"/>
        </w:rPr>
        <w:t xml:space="preserve"> </w:t>
      </w:r>
      <w:proofErr w:type="spellStart"/>
      <w:r w:rsidR="00B22586">
        <w:rPr>
          <w:rFonts w:asciiTheme="minorHAnsi" w:hAnsiTheme="minorHAnsi"/>
          <w:sz w:val="22"/>
          <w:szCs w:val="22"/>
        </w:rPr>
        <w:t>vezane</w:t>
      </w:r>
      <w:proofErr w:type="spellEnd"/>
      <w:r w:rsidR="00B22586">
        <w:rPr>
          <w:rFonts w:asciiTheme="minorHAnsi" w:hAnsiTheme="minorHAnsi"/>
          <w:sz w:val="22"/>
          <w:szCs w:val="22"/>
        </w:rPr>
        <w:t xml:space="preserve"> za </w:t>
      </w:r>
      <w:proofErr w:type="spellStart"/>
      <w:r w:rsidR="00B22586">
        <w:rPr>
          <w:rFonts w:asciiTheme="minorHAnsi" w:hAnsiTheme="minorHAnsi"/>
          <w:sz w:val="22"/>
          <w:szCs w:val="22"/>
        </w:rPr>
        <w:t>srednjoškolsko</w:t>
      </w:r>
      <w:proofErr w:type="spellEnd"/>
      <w:r w:rsidR="00B22586">
        <w:rPr>
          <w:rFonts w:asciiTheme="minorHAnsi" w:hAnsiTheme="minorHAnsi"/>
          <w:sz w:val="22"/>
          <w:szCs w:val="22"/>
        </w:rPr>
        <w:t xml:space="preserve"> </w:t>
      </w:r>
      <w:proofErr w:type="spellStart"/>
      <w:r w:rsidR="00B22586">
        <w:rPr>
          <w:rFonts w:asciiTheme="minorHAnsi" w:hAnsiTheme="minorHAnsi"/>
          <w:sz w:val="22"/>
          <w:szCs w:val="22"/>
        </w:rPr>
        <w:t>obrazovanje</w:t>
      </w:r>
      <w:proofErr w:type="spellEnd"/>
      <w:r w:rsidR="00B22586">
        <w:rPr>
          <w:rFonts w:asciiTheme="minorHAnsi" w:hAnsiTheme="minorHAnsi"/>
          <w:sz w:val="22"/>
          <w:szCs w:val="22"/>
        </w:rPr>
        <w:t xml:space="preserve"> </w:t>
      </w:r>
      <w:proofErr w:type="spellStart"/>
      <w:r w:rsidR="00B22586">
        <w:rPr>
          <w:rFonts w:asciiTheme="minorHAnsi" w:hAnsiTheme="minorHAnsi"/>
          <w:sz w:val="22"/>
          <w:szCs w:val="22"/>
        </w:rPr>
        <w:t>treba</w:t>
      </w:r>
      <w:proofErr w:type="spellEnd"/>
      <w:r w:rsidR="00B22586">
        <w:rPr>
          <w:rFonts w:asciiTheme="minorHAnsi" w:hAnsiTheme="minorHAnsi"/>
          <w:sz w:val="22"/>
          <w:szCs w:val="22"/>
        </w:rPr>
        <w:t xml:space="preserve"> </w:t>
      </w:r>
      <w:proofErr w:type="spellStart"/>
      <w:r w:rsidR="00B22586">
        <w:rPr>
          <w:rFonts w:asciiTheme="minorHAnsi" w:hAnsiTheme="minorHAnsi"/>
          <w:sz w:val="22"/>
          <w:szCs w:val="22"/>
        </w:rPr>
        <w:t>doneti</w:t>
      </w:r>
      <w:proofErr w:type="spellEnd"/>
      <w:r w:rsidR="00B22586">
        <w:rPr>
          <w:rFonts w:asciiTheme="minorHAnsi" w:hAnsiTheme="minorHAnsi"/>
          <w:sz w:val="22"/>
          <w:szCs w:val="22"/>
        </w:rPr>
        <w:t xml:space="preserve"> </w:t>
      </w:r>
      <w:proofErr w:type="spellStart"/>
      <w:r w:rsidR="00B22586">
        <w:rPr>
          <w:rFonts w:asciiTheme="minorHAnsi" w:hAnsiTheme="minorHAnsi"/>
          <w:sz w:val="22"/>
          <w:szCs w:val="22"/>
        </w:rPr>
        <w:t>detaljnjijim</w:t>
      </w:r>
      <w:proofErr w:type="spellEnd"/>
      <w:r w:rsidR="00B22586">
        <w:rPr>
          <w:rFonts w:asciiTheme="minorHAnsi" w:hAnsiTheme="minorHAnsi"/>
          <w:sz w:val="22"/>
          <w:szCs w:val="22"/>
        </w:rPr>
        <w:t xml:space="preserve"> </w:t>
      </w:r>
      <w:proofErr w:type="spellStart"/>
      <w:r w:rsidR="00B22586">
        <w:rPr>
          <w:rFonts w:asciiTheme="minorHAnsi" w:hAnsiTheme="minorHAnsi"/>
          <w:sz w:val="22"/>
          <w:szCs w:val="22"/>
        </w:rPr>
        <w:t>uvidom</w:t>
      </w:r>
      <w:proofErr w:type="spellEnd"/>
      <w:r w:rsidR="00B22586">
        <w:rPr>
          <w:rFonts w:asciiTheme="minorHAnsi" w:hAnsiTheme="minorHAnsi"/>
          <w:sz w:val="22"/>
          <w:szCs w:val="22"/>
        </w:rPr>
        <w:t xml:space="preserve"> u </w:t>
      </w:r>
      <w:proofErr w:type="spellStart"/>
      <w:r w:rsidR="00B22586">
        <w:rPr>
          <w:rFonts w:asciiTheme="minorHAnsi" w:hAnsiTheme="minorHAnsi"/>
          <w:sz w:val="22"/>
          <w:szCs w:val="22"/>
        </w:rPr>
        <w:t>faktičko</w:t>
      </w:r>
      <w:proofErr w:type="spellEnd"/>
      <w:r w:rsidR="00B22586">
        <w:rPr>
          <w:rFonts w:asciiTheme="minorHAnsi" w:hAnsiTheme="minorHAnsi"/>
          <w:sz w:val="22"/>
          <w:szCs w:val="22"/>
        </w:rPr>
        <w:t xml:space="preserve"> </w:t>
      </w:r>
      <w:proofErr w:type="spellStart"/>
      <w:r w:rsidR="00B22586">
        <w:rPr>
          <w:rFonts w:asciiTheme="minorHAnsi" w:hAnsiTheme="minorHAnsi"/>
          <w:sz w:val="22"/>
          <w:szCs w:val="22"/>
        </w:rPr>
        <w:t>stanje</w:t>
      </w:r>
      <w:proofErr w:type="spellEnd"/>
      <w:r w:rsidR="00B22586">
        <w:rPr>
          <w:rFonts w:asciiTheme="minorHAnsi" w:hAnsiTheme="minorHAnsi"/>
          <w:sz w:val="22"/>
          <w:szCs w:val="22"/>
        </w:rPr>
        <w:t xml:space="preserve">. </w:t>
      </w:r>
    </w:p>
    <w:p w14:paraId="2C7F2781" w14:textId="77777777" w:rsidR="00DB5D24" w:rsidRDefault="00DB5D24" w:rsidP="00912F4A">
      <w:pPr>
        <w:rPr>
          <w:rFonts w:asciiTheme="minorHAnsi" w:hAnsiTheme="minorHAnsi"/>
          <w:b/>
          <w:smallCaps/>
        </w:rPr>
      </w:pPr>
    </w:p>
    <w:p w14:paraId="1C15F6D5" w14:textId="77777777" w:rsidR="00885623" w:rsidRDefault="00885623" w:rsidP="00DB5D24">
      <w:pPr>
        <w:rPr>
          <w:rFonts w:ascii="Cambria" w:hAnsi="Cambria"/>
          <w:b/>
          <w:sz w:val="22"/>
          <w:szCs w:val="22"/>
        </w:rPr>
      </w:pPr>
    </w:p>
    <w:p w14:paraId="6B4825F9" w14:textId="77777777" w:rsidR="00885623" w:rsidRDefault="00885623" w:rsidP="00DB5D24">
      <w:pPr>
        <w:rPr>
          <w:rFonts w:ascii="Cambria" w:hAnsi="Cambria"/>
          <w:b/>
          <w:sz w:val="22"/>
          <w:szCs w:val="22"/>
        </w:rPr>
      </w:pPr>
    </w:p>
    <w:p w14:paraId="0CA83490" w14:textId="77777777" w:rsidR="00885623" w:rsidRDefault="00885623" w:rsidP="00DB5D24">
      <w:pPr>
        <w:rPr>
          <w:rFonts w:ascii="Cambria" w:hAnsi="Cambria"/>
          <w:b/>
          <w:sz w:val="22"/>
          <w:szCs w:val="22"/>
        </w:rPr>
      </w:pPr>
    </w:p>
    <w:p w14:paraId="79A03EE7" w14:textId="77777777" w:rsidR="00885623" w:rsidRDefault="00885623" w:rsidP="00DB5D24">
      <w:pPr>
        <w:rPr>
          <w:rFonts w:ascii="Cambria" w:hAnsi="Cambria"/>
          <w:b/>
          <w:sz w:val="22"/>
          <w:szCs w:val="22"/>
        </w:rPr>
      </w:pPr>
    </w:p>
    <w:p w14:paraId="1A06FAD8" w14:textId="77777777" w:rsidR="00885623" w:rsidRDefault="00885623" w:rsidP="00DB5D24">
      <w:pPr>
        <w:rPr>
          <w:rFonts w:ascii="Cambria" w:hAnsi="Cambria"/>
          <w:b/>
          <w:sz w:val="22"/>
          <w:szCs w:val="22"/>
        </w:rPr>
      </w:pPr>
    </w:p>
    <w:p w14:paraId="484A9F44" w14:textId="77777777" w:rsidR="00885623" w:rsidRDefault="00885623" w:rsidP="00DB5D24">
      <w:pPr>
        <w:rPr>
          <w:rFonts w:ascii="Cambria" w:hAnsi="Cambria"/>
          <w:b/>
          <w:sz w:val="22"/>
          <w:szCs w:val="22"/>
        </w:rPr>
      </w:pPr>
    </w:p>
    <w:p w14:paraId="32F4439B" w14:textId="77777777" w:rsidR="00885623" w:rsidRDefault="00885623" w:rsidP="00DB5D24">
      <w:pPr>
        <w:rPr>
          <w:rFonts w:ascii="Cambria" w:hAnsi="Cambria"/>
          <w:b/>
          <w:sz w:val="22"/>
          <w:szCs w:val="22"/>
        </w:rPr>
      </w:pPr>
    </w:p>
    <w:p w14:paraId="2496974D" w14:textId="77777777" w:rsidR="00885623" w:rsidRDefault="00885623" w:rsidP="00DB5D24">
      <w:pPr>
        <w:rPr>
          <w:rFonts w:ascii="Cambria" w:hAnsi="Cambria"/>
          <w:b/>
          <w:sz w:val="22"/>
          <w:szCs w:val="22"/>
        </w:rPr>
      </w:pPr>
    </w:p>
    <w:p w14:paraId="251B4852" w14:textId="0B5CFB40" w:rsidR="00DB5D24" w:rsidRDefault="00DB5D24" w:rsidP="00DB5D24">
      <w:pPr>
        <w:rPr>
          <w:rFonts w:ascii="Cambria" w:hAnsi="Cambria"/>
          <w:b/>
          <w:sz w:val="22"/>
          <w:szCs w:val="22"/>
        </w:rPr>
      </w:pPr>
      <w:proofErr w:type="spellStart"/>
      <w:r w:rsidRPr="003E631D">
        <w:rPr>
          <w:rFonts w:ascii="Cambria" w:hAnsi="Cambria"/>
          <w:b/>
          <w:sz w:val="22"/>
          <w:szCs w:val="22"/>
        </w:rPr>
        <w:t>Grafikon</w:t>
      </w:r>
      <w:proofErr w:type="spellEnd"/>
      <w:r w:rsidRPr="003E631D">
        <w:rPr>
          <w:rFonts w:ascii="Cambria" w:hAnsi="Cambria"/>
          <w:b/>
          <w:sz w:val="22"/>
          <w:szCs w:val="22"/>
        </w:rPr>
        <w:t xml:space="preserve"> </w:t>
      </w:r>
      <w:r>
        <w:rPr>
          <w:rFonts w:ascii="Cambria" w:hAnsi="Cambria"/>
          <w:b/>
          <w:sz w:val="22"/>
          <w:szCs w:val="22"/>
        </w:rPr>
        <w:t xml:space="preserve">9. </w:t>
      </w:r>
      <w:proofErr w:type="spellStart"/>
      <w:r w:rsidRPr="003E631D">
        <w:rPr>
          <w:rFonts w:ascii="Cambria" w:hAnsi="Cambria"/>
          <w:b/>
          <w:sz w:val="22"/>
          <w:szCs w:val="22"/>
        </w:rPr>
        <w:t>Stopa</w:t>
      </w:r>
      <w:proofErr w:type="spellEnd"/>
      <w:r w:rsidRPr="003E631D">
        <w:rPr>
          <w:rFonts w:ascii="Cambria" w:hAnsi="Cambria"/>
          <w:b/>
          <w:sz w:val="22"/>
          <w:szCs w:val="22"/>
        </w:rPr>
        <w:t xml:space="preserve"> </w:t>
      </w:r>
      <w:proofErr w:type="spellStart"/>
      <w:r w:rsidRPr="003E631D">
        <w:rPr>
          <w:rFonts w:ascii="Cambria" w:hAnsi="Cambria"/>
          <w:b/>
          <w:sz w:val="22"/>
          <w:szCs w:val="22"/>
        </w:rPr>
        <w:t>odustajanja</w:t>
      </w:r>
      <w:proofErr w:type="spellEnd"/>
      <w:r w:rsidRPr="003E631D">
        <w:rPr>
          <w:rFonts w:ascii="Cambria" w:hAnsi="Cambria"/>
          <w:b/>
          <w:sz w:val="22"/>
          <w:szCs w:val="22"/>
        </w:rPr>
        <w:t xml:space="preserve"> </w:t>
      </w:r>
      <w:proofErr w:type="spellStart"/>
      <w:r w:rsidRPr="003E631D">
        <w:rPr>
          <w:rFonts w:ascii="Cambria" w:hAnsi="Cambria"/>
          <w:b/>
          <w:sz w:val="22"/>
          <w:szCs w:val="22"/>
        </w:rPr>
        <w:t>od</w:t>
      </w:r>
      <w:proofErr w:type="spellEnd"/>
      <w:r w:rsidRPr="003E631D">
        <w:rPr>
          <w:rFonts w:ascii="Cambria" w:hAnsi="Cambria"/>
          <w:b/>
          <w:sz w:val="22"/>
          <w:szCs w:val="22"/>
        </w:rPr>
        <w:t xml:space="preserve"> </w:t>
      </w:r>
      <w:proofErr w:type="spellStart"/>
      <w:r w:rsidRPr="003E631D">
        <w:rPr>
          <w:rFonts w:ascii="Cambria" w:hAnsi="Cambria"/>
          <w:b/>
          <w:sz w:val="22"/>
          <w:szCs w:val="22"/>
        </w:rPr>
        <w:t>školovanja</w:t>
      </w:r>
      <w:proofErr w:type="spellEnd"/>
      <w:r w:rsidRPr="003E631D">
        <w:rPr>
          <w:rFonts w:ascii="Cambria" w:hAnsi="Cambria"/>
          <w:b/>
          <w:sz w:val="22"/>
          <w:szCs w:val="22"/>
        </w:rPr>
        <w:t xml:space="preserve"> u </w:t>
      </w:r>
      <w:proofErr w:type="spellStart"/>
      <w:r w:rsidRPr="003E631D">
        <w:rPr>
          <w:rFonts w:ascii="Cambria" w:hAnsi="Cambria"/>
          <w:b/>
          <w:sz w:val="22"/>
          <w:szCs w:val="22"/>
        </w:rPr>
        <w:t>srednjem</w:t>
      </w:r>
      <w:proofErr w:type="spellEnd"/>
      <w:r w:rsidRPr="003E631D">
        <w:rPr>
          <w:rFonts w:ascii="Cambria" w:hAnsi="Cambria"/>
          <w:b/>
          <w:sz w:val="22"/>
          <w:szCs w:val="22"/>
        </w:rPr>
        <w:t xml:space="preserve"> </w:t>
      </w:r>
      <w:proofErr w:type="spellStart"/>
      <w:r w:rsidRPr="003E631D">
        <w:rPr>
          <w:rFonts w:ascii="Cambria" w:hAnsi="Cambria"/>
          <w:b/>
          <w:sz w:val="22"/>
          <w:szCs w:val="22"/>
        </w:rPr>
        <w:t>obrazovanju</w:t>
      </w:r>
      <w:proofErr w:type="spellEnd"/>
      <w:r w:rsidRPr="003E631D">
        <w:rPr>
          <w:rFonts w:ascii="Cambria" w:hAnsi="Cambria"/>
          <w:b/>
          <w:sz w:val="22"/>
          <w:szCs w:val="22"/>
        </w:rPr>
        <w:t xml:space="preserve"> (%), 2010-201</w:t>
      </w:r>
      <w:r w:rsidR="0032035D">
        <w:rPr>
          <w:rFonts w:ascii="Cambria" w:hAnsi="Cambria"/>
          <w:b/>
          <w:sz w:val="22"/>
          <w:szCs w:val="22"/>
        </w:rPr>
        <w:t>9</w:t>
      </w:r>
    </w:p>
    <w:p w14:paraId="22B23E11" w14:textId="59CFE2D6" w:rsidR="00DB5D24" w:rsidRPr="00E741A5" w:rsidRDefault="0086088D" w:rsidP="00DB5D24">
      <w:r>
        <w:rPr>
          <w:noProof/>
        </w:rPr>
        <w:drawing>
          <wp:inline distT="0" distB="0" distL="0" distR="0" wp14:anchorId="173E134C" wp14:editId="513F36DD">
            <wp:extent cx="4572000" cy="2743200"/>
            <wp:effectExtent l="0" t="0" r="12700" b="12700"/>
            <wp:docPr id="3" name="Chart 3">
              <a:extLst xmlns:a="http://schemas.openxmlformats.org/drawingml/2006/main">
                <a:ext uri="{FF2B5EF4-FFF2-40B4-BE49-F238E27FC236}">
                  <a16:creationId xmlns:a16="http://schemas.microsoft.com/office/drawing/2014/main" id="{A6629E70-3A3C-0D40-89AB-5D2BE2835C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B03E892" w14:textId="77777777" w:rsidR="00DB5D24" w:rsidRPr="00B0726C" w:rsidRDefault="00DB5D24" w:rsidP="00DB5D24">
      <w:pPr>
        <w:jc w:val="both"/>
        <w:rPr>
          <w:rFonts w:asciiTheme="minorHAnsi" w:hAnsiTheme="minorHAnsi"/>
          <w:sz w:val="18"/>
          <w:szCs w:val="18"/>
        </w:rPr>
      </w:pPr>
      <w:proofErr w:type="spellStart"/>
      <w:r w:rsidRPr="00B0726C">
        <w:rPr>
          <w:rFonts w:asciiTheme="minorHAnsi" w:hAnsiTheme="minorHAnsi"/>
          <w:sz w:val="18"/>
          <w:szCs w:val="18"/>
        </w:rPr>
        <w:t>Izvor</w:t>
      </w:r>
      <w:proofErr w:type="spellEnd"/>
      <w:r w:rsidRPr="00B0726C">
        <w:rPr>
          <w:rFonts w:asciiTheme="minorHAnsi" w:hAnsiTheme="minorHAnsi"/>
          <w:sz w:val="18"/>
          <w:szCs w:val="18"/>
        </w:rPr>
        <w:t xml:space="preserve">: </w:t>
      </w:r>
      <w:proofErr w:type="spellStart"/>
      <w:r w:rsidRPr="00B0726C">
        <w:rPr>
          <w:rFonts w:asciiTheme="minorHAnsi" w:hAnsiTheme="minorHAnsi"/>
          <w:sz w:val="18"/>
          <w:szCs w:val="18"/>
        </w:rPr>
        <w:t>Devinfo</w:t>
      </w:r>
      <w:proofErr w:type="spellEnd"/>
      <w:r w:rsidRPr="00B0726C">
        <w:rPr>
          <w:rFonts w:asciiTheme="minorHAnsi" w:hAnsiTheme="minorHAnsi"/>
          <w:sz w:val="18"/>
          <w:szCs w:val="18"/>
        </w:rPr>
        <w:t>, RZS</w:t>
      </w:r>
    </w:p>
    <w:p w14:paraId="4FFDED13" w14:textId="77777777" w:rsidR="00DB5D24" w:rsidRPr="00EB18B0" w:rsidRDefault="00DB5D24" w:rsidP="00DB5D24">
      <w:pPr>
        <w:jc w:val="both"/>
        <w:rPr>
          <w:rFonts w:asciiTheme="minorHAnsi" w:hAnsiTheme="minorHAnsi"/>
          <w:sz w:val="22"/>
          <w:szCs w:val="22"/>
        </w:rPr>
      </w:pPr>
    </w:p>
    <w:p w14:paraId="013D20D9" w14:textId="700FE458" w:rsidR="005B59B4" w:rsidRDefault="005B59B4"/>
    <w:p w14:paraId="2CB7F6AF" w14:textId="53687E7E" w:rsidR="00B27A70" w:rsidRDefault="002A5868">
      <w:pPr>
        <w:rPr>
          <w:rFonts w:asciiTheme="minorHAnsi" w:hAnsiTheme="minorHAnsi" w:cs="Calibri (Body)"/>
          <w:b/>
          <w:smallCaps/>
        </w:rPr>
      </w:pPr>
      <w:proofErr w:type="spellStart"/>
      <w:r w:rsidRPr="002A5868">
        <w:rPr>
          <w:rFonts w:asciiTheme="minorHAnsi" w:hAnsiTheme="minorHAnsi" w:cs="Calibri (Body)"/>
          <w:b/>
          <w:smallCaps/>
        </w:rPr>
        <w:t>Zaključak</w:t>
      </w:r>
      <w:proofErr w:type="spellEnd"/>
      <w:r w:rsidRPr="002A5868">
        <w:rPr>
          <w:rFonts w:asciiTheme="minorHAnsi" w:hAnsiTheme="minorHAnsi" w:cs="Calibri (Body)"/>
          <w:b/>
          <w:smallCaps/>
        </w:rPr>
        <w:t xml:space="preserve"> </w:t>
      </w:r>
      <w:proofErr w:type="spellStart"/>
      <w:r w:rsidRPr="002A5868">
        <w:rPr>
          <w:rFonts w:asciiTheme="minorHAnsi" w:hAnsiTheme="minorHAnsi" w:cs="Calibri (Body)"/>
          <w:b/>
          <w:smallCaps/>
        </w:rPr>
        <w:t>i</w:t>
      </w:r>
      <w:proofErr w:type="spellEnd"/>
      <w:r w:rsidRPr="002A5868">
        <w:rPr>
          <w:rFonts w:asciiTheme="minorHAnsi" w:hAnsiTheme="minorHAnsi" w:cs="Calibri (Body)"/>
          <w:b/>
          <w:smallCaps/>
        </w:rPr>
        <w:t xml:space="preserve"> </w:t>
      </w:r>
      <w:proofErr w:type="spellStart"/>
      <w:r w:rsidRPr="002A5868">
        <w:rPr>
          <w:rFonts w:asciiTheme="minorHAnsi" w:hAnsiTheme="minorHAnsi" w:cs="Calibri (Body)"/>
          <w:b/>
          <w:smallCaps/>
        </w:rPr>
        <w:t>preporuke</w:t>
      </w:r>
      <w:proofErr w:type="spellEnd"/>
    </w:p>
    <w:p w14:paraId="6AC99192" w14:textId="51E27A29" w:rsidR="0092414E" w:rsidRPr="00A35190" w:rsidRDefault="0092414E" w:rsidP="0092509C">
      <w:pPr>
        <w:jc w:val="both"/>
        <w:rPr>
          <w:rFonts w:asciiTheme="minorHAnsi" w:hAnsiTheme="minorHAnsi" w:cs="Calibri (Body)"/>
          <w:smallCaps/>
        </w:rPr>
      </w:pPr>
    </w:p>
    <w:p w14:paraId="5E8F742B" w14:textId="450A8842" w:rsidR="007E0B50" w:rsidRPr="00CB1688" w:rsidRDefault="007E0B50" w:rsidP="00093DA7">
      <w:pPr>
        <w:jc w:val="both"/>
        <w:rPr>
          <w:rFonts w:asciiTheme="minorHAnsi" w:hAnsiTheme="minorHAnsi" w:cstheme="minorHAnsi"/>
          <w:sz w:val="22"/>
        </w:rPr>
      </w:pPr>
      <w:proofErr w:type="spellStart"/>
      <w:r>
        <w:rPr>
          <w:rFonts w:asciiTheme="minorHAnsi" w:hAnsiTheme="minorHAnsi" w:cstheme="minorHAnsi"/>
          <w:sz w:val="22"/>
        </w:rPr>
        <w:t>Rashodi</w:t>
      </w:r>
      <w:proofErr w:type="spellEnd"/>
      <w:r>
        <w:rPr>
          <w:rFonts w:asciiTheme="minorHAnsi" w:hAnsiTheme="minorHAnsi" w:cstheme="minorHAnsi"/>
          <w:sz w:val="22"/>
        </w:rPr>
        <w:t xml:space="preserve"> za </w:t>
      </w:r>
      <w:proofErr w:type="spellStart"/>
      <w:r>
        <w:rPr>
          <w:rFonts w:asciiTheme="minorHAnsi" w:hAnsiTheme="minorHAnsi" w:cstheme="minorHAnsi"/>
          <w:sz w:val="22"/>
        </w:rPr>
        <w:t>obrazovanje</w:t>
      </w:r>
      <w:proofErr w:type="spellEnd"/>
      <w:r>
        <w:rPr>
          <w:rFonts w:asciiTheme="minorHAnsi" w:hAnsiTheme="minorHAnsi" w:cstheme="minorHAnsi"/>
          <w:sz w:val="22"/>
        </w:rPr>
        <w:t xml:space="preserve"> u </w:t>
      </w:r>
      <w:proofErr w:type="spellStart"/>
      <w:r>
        <w:rPr>
          <w:rFonts w:asciiTheme="minorHAnsi" w:hAnsiTheme="minorHAnsi" w:cstheme="minorHAnsi"/>
          <w:sz w:val="22"/>
        </w:rPr>
        <w:t>Baču</w:t>
      </w:r>
      <w:proofErr w:type="spellEnd"/>
      <w:r>
        <w:rPr>
          <w:rFonts w:asciiTheme="minorHAnsi" w:hAnsiTheme="minorHAnsi" w:cstheme="minorHAnsi"/>
          <w:sz w:val="22"/>
        </w:rPr>
        <w:t xml:space="preserve"> </w:t>
      </w:r>
      <w:proofErr w:type="spellStart"/>
      <w:r>
        <w:rPr>
          <w:rFonts w:asciiTheme="minorHAnsi" w:hAnsiTheme="minorHAnsi" w:cstheme="minorHAnsi"/>
          <w:sz w:val="22"/>
        </w:rPr>
        <w:t>su</w:t>
      </w:r>
      <w:proofErr w:type="spellEnd"/>
      <w:r>
        <w:rPr>
          <w:rFonts w:asciiTheme="minorHAnsi" w:hAnsiTheme="minorHAnsi" w:cstheme="minorHAnsi"/>
          <w:sz w:val="22"/>
        </w:rPr>
        <w:t xml:space="preserve"> </w:t>
      </w:r>
      <w:proofErr w:type="spellStart"/>
      <w:r>
        <w:rPr>
          <w:rFonts w:asciiTheme="minorHAnsi" w:hAnsiTheme="minorHAnsi" w:cstheme="minorHAnsi"/>
          <w:sz w:val="22"/>
        </w:rPr>
        <w:t>na</w:t>
      </w:r>
      <w:proofErr w:type="spellEnd"/>
      <w:r>
        <w:rPr>
          <w:rFonts w:asciiTheme="minorHAnsi" w:hAnsiTheme="minorHAnsi" w:cstheme="minorHAnsi"/>
          <w:sz w:val="22"/>
        </w:rPr>
        <w:t xml:space="preserve"> </w:t>
      </w:r>
      <w:proofErr w:type="spellStart"/>
      <w:r>
        <w:rPr>
          <w:rFonts w:asciiTheme="minorHAnsi" w:hAnsiTheme="minorHAnsi" w:cstheme="minorHAnsi"/>
          <w:sz w:val="22"/>
        </w:rPr>
        <w:t>nivou</w:t>
      </w:r>
      <w:proofErr w:type="spellEnd"/>
      <w:r>
        <w:rPr>
          <w:rFonts w:asciiTheme="minorHAnsi" w:hAnsiTheme="minorHAnsi" w:cstheme="minorHAnsi"/>
          <w:sz w:val="22"/>
        </w:rPr>
        <w:t xml:space="preserve"> </w:t>
      </w:r>
      <w:proofErr w:type="spellStart"/>
      <w:r>
        <w:rPr>
          <w:rFonts w:asciiTheme="minorHAnsi" w:hAnsiTheme="minorHAnsi" w:cstheme="minorHAnsi"/>
          <w:sz w:val="22"/>
        </w:rPr>
        <w:t>proseka</w:t>
      </w:r>
      <w:proofErr w:type="spellEnd"/>
      <w:r>
        <w:rPr>
          <w:rFonts w:asciiTheme="minorHAnsi" w:hAnsiTheme="minorHAnsi" w:cstheme="minorHAnsi"/>
          <w:sz w:val="22"/>
        </w:rPr>
        <w:t xml:space="preserve"> </w:t>
      </w:r>
      <w:proofErr w:type="spellStart"/>
      <w:r>
        <w:rPr>
          <w:rFonts w:asciiTheme="minorHAnsi" w:hAnsiTheme="minorHAnsi" w:cstheme="minorHAnsi"/>
          <w:sz w:val="22"/>
        </w:rPr>
        <w:t>uporedivih</w:t>
      </w:r>
      <w:proofErr w:type="spellEnd"/>
      <w:r>
        <w:rPr>
          <w:rFonts w:asciiTheme="minorHAnsi" w:hAnsiTheme="minorHAnsi" w:cstheme="minorHAnsi"/>
          <w:sz w:val="22"/>
        </w:rPr>
        <w:t xml:space="preserve"> </w:t>
      </w:r>
      <w:proofErr w:type="spellStart"/>
      <w:r>
        <w:rPr>
          <w:rFonts w:asciiTheme="minorHAnsi" w:hAnsiTheme="minorHAnsi" w:cstheme="minorHAnsi"/>
          <w:sz w:val="22"/>
        </w:rPr>
        <w:t>opština</w:t>
      </w:r>
      <w:proofErr w:type="spellEnd"/>
      <w:r>
        <w:rPr>
          <w:rFonts w:asciiTheme="minorHAnsi" w:hAnsiTheme="minorHAnsi" w:cstheme="minorHAnsi"/>
          <w:sz w:val="22"/>
        </w:rPr>
        <w:t xml:space="preserve">, </w:t>
      </w:r>
      <w:r w:rsidR="00093DA7" w:rsidRPr="00093DA7">
        <w:rPr>
          <w:rFonts w:asciiTheme="minorHAnsi" w:hAnsiTheme="minorHAnsi" w:cstheme="minorHAnsi"/>
          <w:sz w:val="22"/>
        </w:rPr>
        <w:t xml:space="preserve">s </w:t>
      </w:r>
      <w:proofErr w:type="spellStart"/>
      <w:r w:rsidR="00093DA7" w:rsidRPr="00093DA7">
        <w:rPr>
          <w:rFonts w:asciiTheme="minorHAnsi" w:hAnsiTheme="minorHAnsi" w:cstheme="minorHAnsi"/>
          <w:sz w:val="22"/>
        </w:rPr>
        <w:t>tim</w:t>
      </w:r>
      <w:proofErr w:type="spellEnd"/>
      <w:r w:rsidR="00093DA7" w:rsidRPr="00093DA7">
        <w:rPr>
          <w:rFonts w:asciiTheme="minorHAnsi" w:hAnsiTheme="minorHAnsi" w:cstheme="minorHAnsi"/>
          <w:sz w:val="22"/>
        </w:rPr>
        <w:t xml:space="preserve"> </w:t>
      </w:r>
      <w:proofErr w:type="spellStart"/>
      <w:r w:rsidR="00093DA7" w:rsidRPr="00093DA7">
        <w:rPr>
          <w:rFonts w:asciiTheme="minorHAnsi" w:hAnsiTheme="minorHAnsi" w:cstheme="minorHAnsi"/>
          <w:sz w:val="22"/>
        </w:rPr>
        <w:t>što</w:t>
      </w:r>
      <w:proofErr w:type="spellEnd"/>
      <w:r w:rsidR="00093DA7" w:rsidRPr="00093DA7">
        <w:rPr>
          <w:rFonts w:asciiTheme="minorHAnsi" w:hAnsiTheme="minorHAnsi" w:cstheme="minorHAnsi"/>
          <w:sz w:val="22"/>
        </w:rPr>
        <w:t xml:space="preserve"> je </w:t>
      </w:r>
      <w:proofErr w:type="spellStart"/>
      <w:r w:rsidR="00093DA7" w:rsidRPr="00093DA7">
        <w:rPr>
          <w:rFonts w:asciiTheme="minorHAnsi" w:hAnsiTheme="minorHAnsi" w:cstheme="minorHAnsi"/>
          <w:sz w:val="22"/>
        </w:rPr>
        <w:t>specifičnost</w:t>
      </w:r>
      <w:proofErr w:type="spellEnd"/>
      <w:r w:rsidR="00093DA7" w:rsidRPr="00093DA7">
        <w:rPr>
          <w:rFonts w:asciiTheme="minorHAnsi" w:hAnsiTheme="minorHAnsi" w:cstheme="minorHAnsi"/>
          <w:sz w:val="22"/>
        </w:rPr>
        <w:t xml:space="preserve"> </w:t>
      </w:r>
      <w:proofErr w:type="spellStart"/>
      <w:r w:rsidR="00093DA7" w:rsidRPr="00093DA7">
        <w:rPr>
          <w:rFonts w:asciiTheme="minorHAnsi" w:hAnsiTheme="minorHAnsi" w:cstheme="minorHAnsi"/>
          <w:sz w:val="22"/>
        </w:rPr>
        <w:t>Bača</w:t>
      </w:r>
      <w:proofErr w:type="spellEnd"/>
      <w:r w:rsidR="00093DA7" w:rsidRPr="00093DA7">
        <w:rPr>
          <w:rFonts w:asciiTheme="minorHAnsi" w:hAnsiTheme="minorHAnsi" w:cstheme="minorHAnsi"/>
          <w:sz w:val="22"/>
        </w:rPr>
        <w:t xml:space="preserve"> </w:t>
      </w:r>
      <w:r w:rsidR="00093DA7">
        <w:rPr>
          <w:rFonts w:asciiTheme="minorHAnsi" w:hAnsiTheme="minorHAnsi" w:cstheme="minorHAnsi"/>
          <w:sz w:val="22"/>
        </w:rPr>
        <w:t>da se</w:t>
      </w:r>
      <w:r w:rsidR="00093DA7" w:rsidRPr="00093DA7">
        <w:rPr>
          <w:rFonts w:asciiTheme="minorHAnsi" w:hAnsiTheme="minorHAnsi" w:cstheme="minorHAnsi"/>
          <w:sz w:val="22"/>
        </w:rPr>
        <w:t xml:space="preserve"> </w:t>
      </w:r>
      <w:proofErr w:type="spellStart"/>
      <w:r w:rsidR="00093DA7" w:rsidRPr="00093DA7">
        <w:rPr>
          <w:rFonts w:asciiTheme="minorHAnsi" w:hAnsiTheme="minorHAnsi" w:cstheme="minorHAnsi"/>
          <w:sz w:val="22"/>
        </w:rPr>
        <w:t>značajan</w:t>
      </w:r>
      <w:proofErr w:type="spellEnd"/>
      <w:r w:rsidR="00093DA7" w:rsidRPr="00093DA7">
        <w:rPr>
          <w:rFonts w:asciiTheme="minorHAnsi" w:hAnsiTheme="minorHAnsi" w:cstheme="minorHAnsi"/>
          <w:sz w:val="22"/>
        </w:rPr>
        <w:t xml:space="preserve"> deo </w:t>
      </w:r>
      <w:proofErr w:type="spellStart"/>
      <w:r w:rsidR="00093DA7" w:rsidRPr="00093DA7">
        <w:rPr>
          <w:rFonts w:asciiTheme="minorHAnsi" w:hAnsiTheme="minorHAnsi" w:cstheme="minorHAnsi"/>
          <w:sz w:val="22"/>
        </w:rPr>
        <w:t>budžeta</w:t>
      </w:r>
      <w:proofErr w:type="spellEnd"/>
      <w:r w:rsidR="00093DA7" w:rsidRPr="00093DA7">
        <w:rPr>
          <w:rFonts w:asciiTheme="minorHAnsi" w:hAnsiTheme="minorHAnsi" w:cstheme="minorHAnsi"/>
          <w:sz w:val="22"/>
        </w:rPr>
        <w:t xml:space="preserve"> </w:t>
      </w:r>
      <w:proofErr w:type="spellStart"/>
      <w:r w:rsidR="00093DA7" w:rsidRPr="00093DA7">
        <w:rPr>
          <w:rFonts w:asciiTheme="minorHAnsi" w:hAnsiTheme="minorHAnsi" w:cstheme="minorHAnsi"/>
          <w:sz w:val="22"/>
        </w:rPr>
        <w:t>korisiti</w:t>
      </w:r>
      <w:proofErr w:type="spellEnd"/>
      <w:r w:rsidR="00093DA7" w:rsidRPr="00093DA7">
        <w:rPr>
          <w:rFonts w:asciiTheme="minorHAnsi" w:hAnsiTheme="minorHAnsi" w:cstheme="minorHAnsi"/>
          <w:sz w:val="22"/>
        </w:rPr>
        <w:t xml:space="preserve"> za </w:t>
      </w:r>
      <w:proofErr w:type="spellStart"/>
      <w:r w:rsidR="00093DA7" w:rsidRPr="00093DA7">
        <w:rPr>
          <w:rFonts w:asciiTheme="minorHAnsi" w:hAnsiTheme="minorHAnsi" w:cstheme="minorHAnsi"/>
          <w:sz w:val="22"/>
        </w:rPr>
        <w:t>pomoćne</w:t>
      </w:r>
      <w:proofErr w:type="spellEnd"/>
      <w:r w:rsidR="00093DA7" w:rsidRPr="00093DA7">
        <w:rPr>
          <w:rFonts w:asciiTheme="minorHAnsi" w:hAnsiTheme="minorHAnsi" w:cstheme="minorHAnsi"/>
          <w:sz w:val="22"/>
        </w:rPr>
        <w:t xml:space="preserve"> </w:t>
      </w:r>
      <w:proofErr w:type="spellStart"/>
      <w:r w:rsidR="00093DA7" w:rsidRPr="00093DA7">
        <w:rPr>
          <w:rFonts w:asciiTheme="minorHAnsi" w:hAnsiTheme="minorHAnsi" w:cstheme="minorHAnsi"/>
          <w:sz w:val="22"/>
        </w:rPr>
        <w:t>usluge</w:t>
      </w:r>
      <w:proofErr w:type="spellEnd"/>
      <w:r w:rsidR="00093DA7" w:rsidRPr="00093DA7">
        <w:rPr>
          <w:rFonts w:asciiTheme="minorHAnsi" w:hAnsiTheme="minorHAnsi" w:cstheme="minorHAnsi"/>
          <w:sz w:val="22"/>
        </w:rPr>
        <w:t xml:space="preserve"> u </w:t>
      </w:r>
      <w:proofErr w:type="spellStart"/>
      <w:r w:rsidR="00093DA7" w:rsidRPr="00093DA7">
        <w:rPr>
          <w:rFonts w:asciiTheme="minorHAnsi" w:hAnsiTheme="minorHAnsi" w:cstheme="minorHAnsi"/>
          <w:sz w:val="22"/>
        </w:rPr>
        <w:t>obrazovanju</w:t>
      </w:r>
      <w:proofErr w:type="spellEnd"/>
      <w:r w:rsidR="00093DA7" w:rsidRPr="00093DA7">
        <w:rPr>
          <w:rFonts w:asciiTheme="minorHAnsi" w:hAnsiTheme="minorHAnsi" w:cstheme="minorHAnsi"/>
          <w:sz w:val="22"/>
        </w:rPr>
        <w:t xml:space="preserve"> </w:t>
      </w:r>
      <w:proofErr w:type="spellStart"/>
      <w:r w:rsidR="00093DA7">
        <w:rPr>
          <w:rFonts w:asciiTheme="minorHAnsi" w:hAnsiTheme="minorHAnsi" w:cstheme="minorHAnsi"/>
          <w:sz w:val="22"/>
        </w:rPr>
        <w:t>dok</w:t>
      </w:r>
      <w:proofErr w:type="spellEnd"/>
      <w:r w:rsidR="00093DA7">
        <w:rPr>
          <w:rFonts w:asciiTheme="minorHAnsi" w:hAnsiTheme="minorHAnsi" w:cstheme="minorHAnsi"/>
          <w:sz w:val="22"/>
        </w:rPr>
        <w:t xml:space="preserve"> </w:t>
      </w:r>
      <w:proofErr w:type="spellStart"/>
      <w:r w:rsidR="00093DA7">
        <w:rPr>
          <w:rFonts w:asciiTheme="minorHAnsi" w:hAnsiTheme="minorHAnsi" w:cstheme="minorHAnsi"/>
          <w:sz w:val="22"/>
        </w:rPr>
        <w:t>su</w:t>
      </w:r>
      <w:proofErr w:type="spellEnd"/>
      <w:r w:rsidR="00093DA7">
        <w:rPr>
          <w:rFonts w:asciiTheme="minorHAnsi" w:hAnsiTheme="minorHAnsi" w:cstheme="minorHAnsi"/>
          <w:sz w:val="22"/>
        </w:rPr>
        <w:t xml:space="preserve"> </w:t>
      </w:r>
      <w:proofErr w:type="spellStart"/>
      <w:r w:rsidR="00093DA7">
        <w:rPr>
          <w:rFonts w:asciiTheme="minorHAnsi" w:hAnsiTheme="minorHAnsi" w:cstheme="minorHAnsi"/>
          <w:sz w:val="22"/>
        </w:rPr>
        <w:t>rashodi</w:t>
      </w:r>
      <w:proofErr w:type="spellEnd"/>
      <w:r w:rsidR="00093DA7">
        <w:rPr>
          <w:rFonts w:asciiTheme="minorHAnsi" w:hAnsiTheme="minorHAnsi" w:cstheme="minorHAnsi"/>
          <w:sz w:val="22"/>
        </w:rPr>
        <w:t xml:space="preserve"> </w:t>
      </w:r>
      <w:proofErr w:type="spellStart"/>
      <w:r w:rsidR="00093DA7" w:rsidRPr="00093DA7">
        <w:rPr>
          <w:rFonts w:asciiTheme="minorHAnsi" w:hAnsiTheme="minorHAnsi" w:cstheme="minorHAnsi"/>
          <w:sz w:val="22"/>
        </w:rPr>
        <w:t>prema</w:t>
      </w:r>
      <w:proofErr w:type="spellEnd"/>
      <w:r w:rsidR="00093DA7" w:rsidRPr="00093DA7">
        <w:rPr>
          <w:rFonts w:asciiTheme="minorHAnsi" w:hAnsiTheme="minorHAnsi" w:cstheme="minorHAnsi"/>
          <w:sz w:val="22"/>
        </w:rPr>
        <w:t xml:space="preserve"> </w:t>
      </w:r>
      <w:proofErr w:type="spellStart"/>
      <w:r w:rsidR="00093DA7" w:rsidRPr="00093DA7">
        <w:rPr>
          <w:rFonts w:asciiTheme="minorHAnsi" w:hAnsiTheme="minorHAnsi" w:cstheme="minorHAnsi"/>
          <w:sz w:val="22"/>
        </w:rPr>
        <w:t>nivoim</w:t>
      </w:r>
      <w:r w:rsidR="00093DA7">
        <w:rPr>
          <w:rFonts w:asciiTheme="minorHAnsi" w:hAnsiTheme="minorHAnsi" w:cstheme="minorHAnsi"/>
          <w:sz w:val="22"/>
        </w:rPr>
        <w:t>a</w:t>
      </w:r>
      <w:proofErr w:type="spellEnd"/>
      <w:r w:rsidR="00093DA7">
        <w:rPr>
          <w:rFonts w:asciiTheme="minorHAnsi" w:hAnsiTheme="minorHAnsi" w:cstheme="minorHAnsi"/>
          <w:sz w:val="22"/>
        </w:rPr>
        <w:t xml:space="preserve"> </w:t>
      </w:r>
      <w:proofErr w:type="spellStart"/>
      <w:r w:rsidR="00093DA7" w:rsidRPr="00093DA7">
        <w:rPr>
          <w:rFonts w:asciiTheme="minorHAnsi" w:hAnsiTheme="minorHAnsi" w:cstheme="minorHAnsi"/>
          <w:sz w:val="22"/>
        </w:rPr>
        <w:t>obrazovanja</w:t>
      </w:r>
      <w:proofErr w:type="spellEnd"/>
      <w:r w:rsidR="00093DA7">
        <w:rPr>
          <w:rFonts w:asciiTheme="minorHAnsi" w:hAnsiTheme="minorHAnsi" w:cstheme="minorHAnsi"/>
          <w:sz w:val="22"/>
        </w:rPr>
        <w:t xml:space="preserve"> </w:t>
      </w:r>
      <w:r w:rsidR="00093DA7" w:rsidRPr="00093DA7">
        <w:rPr>
          <w:rFonts w:asciiTheme="minorHAnsi" w:hAnsiTheme="minorHAnsi" w:cstheme="minorHAnsi"/>
          <w:sz w:val="22"/>
        </w:rPr>
        <w:t xml:space="preserve">u </w:t>
      </w:r>
      <w:proofErr w:type="spellStart"/>
      <w:r w:rsidR="00093DA7" w:rsidRPr="00093DA7">
        <w:rPr>
          <w:rFonts w:asciiTheme="minorHAnsi" w:hAnsiTheme="minorHAnsi" w:cstheme="minorHAnsi"/>
          <w:sz w:val="22"/>
        </w:rPr>
        <w:t>relativnom</w:t>
      </w:r>
      <w:proofErr w:type="spellEnd"/>
      <w:r w:rsidR="00093DA7" w:rsidRPr="00093DA7">
        <w:rPr>
          <w:rFonts w:asciiTheme="minorHAnsi" w:hAnsiTheme="minorHAnsi" w:cstheme="minorHAnsi"/>
          <w:sz w:val="22"/>
        </w:rPr>
        <w:t xml:space="preserve"> </w:t>
      </w:r>
      <w:proofErr w:type="spellStart"/>
      <w:r w:rsidR="00093DA7" w:rsidRPr="00093DA7">
        <w:rPr>
          <w:rFonts w:asciiTheme="minorHAnsi" w:hAnsiTheme="minorHAnsi" w:cstheme="minorHAnsi"/>
          <w:sz w:val="22"/>
        </w:rPr>
        <w:t>smislu</w:t>
      </w:r>
      <w:proofErr w:type="spellEnd"/>
      <w:r w:rsidR="00093DA7" w:rsidRPr="00093DA7">
        <w:rPr>
          <w:rFonts w:asciiTheme="minorHAnsi" w:hAnsiTheme="minorHAnsi" w:cstheme="minorHAnsi"/>
          <w:sz w:val="22"/>
        </w:rPr>
        <w:t xml:space="preserve"> </w:t>
      </w:r>
      <w:proofErr w:type="spellStart"/>
      <w:r w:rsidR="00093DA7" w:rsidRPr="00093DA7">
        <w:rPr>
          <w:rFonts w:asciiTheme="minorHAnsi" w:hAnsiTheme="minorHAnsi" w:cstheme="minorHAnsi"/>
          <w:sz w:val="22"/>
        </w:rPr>
        <w:t>nešto</w:t>
      </w:r>
      <w:proofErr w:type="spellEnd"/>
      <w:r w:rsidR="00093DA7" w:rsidRPr="00093DA7">
        <w:rPr>
          <w:rFonts w:asciiTheme="minorHAnsi" w:hAnsiTheme="minorHAnsi" w:cstheme="minorHAnsi"/>
          <w:sz w:val="22"/>
        </w:rPr>
        <w:t xml:space="preserve"> </w:t>
      </w:r>
      <w:proofErr w:type="spellStart"/>
      <w:r w:rsidR="00093DA7" w:rsidRPr="00093DA7">
        <w:rPr>
          <w:rFonts w:asciiTheme="minorHAnsi" w:hAnsiTheme="minorHAnsi" w:cstheme="minorHAnsi"/>
          <w:sz w:val="22"/>
        </w:rPr>
        <w:t>niži</w:t>
      </w:r>
      <w:proofErr w:type="spellEnd"/>
      <w:r w:rsidR="00093DA7" w:rsidRPr="00093DA7">
        <w:rPr>
          <w:rFonts w:asciiTheme="minorHAnsi" w:hAnsiTheme="minorHAnsi" w:cstheme="minorHAnsi"/>
          <w:sz w:val="22"/>
        </w:rPr>
        <w:t xml:space="preserve"> </w:t>
      </w:r>
      <w:proofErr w:type="spellStart"/>
      <w:r w:rsidR="00093DA7" w:rsidRPr="00093DA7">
        <w:rPr>
          <w:rFonts w:asciiTheme="minorHAnsi" w:hAnsiTheme="minorHAnsi" w:cstheme="minorHAnsi"/>
          <w:sz w:val="22"/>
        </w:rPr>
        <w:t>od</w:t>
      </w:r>
      <w:proofErr w:type="spellEnd"/>
      <w:r w:rsidR="00093DA7" w:rsidRPr="00093DA7">
        <w:rPr>
          <w:rFonts w:asciiTheme="minorHAnsi" w:hAnsiTheme="minorHAnsi" w:cstheme="minorHAnsi"/>
          <w:sz w:val="22"/>
        </w:rPr>
        <w:t xml:space="preserve"> </w:t>
      </w:r>
      <w:proofErr w:type="spellStart"/>
      <w:r w:rsidR="00093DA7" w:rsidRPr="00093DA7">
        <w:rPr>
          <w:rFonts w:asciiTheme="minorHAnsi" w:hAnsiTheme="minorHAnsi" w:cstheme="minorHAnsi"/>
          <w:sz w:val="22"/>
        </w:rPr>
        <w:t>prosek</w:t>
      </w:r>
      <w:proofErr w:type="spellEnd"/>
      <w:r w:rsidR="00093DA7" w:rsidRPr="00093DA7">
        <w:rPr>
          <w:rFonts w:asciiTheme="minorHAnsi" w:hAnsiTheme="minorHAnsi" w:cstheme="minorHAnsi"/>
          <w:sz w:val="22"/>
        </w:rPr>
        <w:t xml:space="preserve"> za </w:t>
      </w:r>
      <w:proofErr w:type="spellStart"/>
      <w:r w:rsidR="00093DA7" w:rsidRPr="00093DA7">
        <w:rPr>
          <w:rFonts w:asciiTheme="minorHAnsi" w:hAnsiTheme="minorHAnsi" w:cstheme="minorHAnsi"/>
          <w:sz w:val="22"/>
        </w:rPr>
        <w:t>uporedive</w:t>
      </w:r>
      <w:proofErr w:type="spellEnd"/>
      <w:r w:rsidR="00093DA7" w:rsidRPr="00093DA7">
        <w:rPr>
          <w:rFonts w:asciiTheme="minorHAnsi" w:hAnsiTheme="minorHAnsi" w:cstheme="minorHAnsi"/>
          <w:sz w:val="22"/>
        </w:rPr>
        <w:t xml:space="preserve"> </w:t>
      </w:r>
      <w:proofErr w:type="spellStart"/>
      <w:r w:rsidR="00093DA7" w:rsidRPr="00093DA7">
        <w:rPr>
          <w:rFonts w:asciiTheme="minorHAnsi" w:hAnsiTheme="minorHAnsi" w:cstheme="minorHAnsi"/>
          <w:sz w:val="22"/>
        </w:rPr>
        <w:t>opštine</w:t>
      </w:r>
      <w:proofErr w:type="spellEnd"/>
      <w:r w:rsidR="00093DA7" w:rsidRPr="00093DA7">
        <w:rPr>
          <w:rFonts w:asciiTheme="minorHAnsi" w:hAnsiTheme="minorHAnsi" w:cstheme="minorHAnsi"/>
          <w:sz w:val="22"/>
        </w:rPr>
        <w:t xml:space="preserve">.  </w:t>
      </w:r>
      <w:r w:rsidR="00093DA7">
        <w:rPr>
          <w:rFonts w:asciiTheme="minorHAnsi" w:hAnsiTheme="minorHAnsi" w:cstheme="minorHAnsi"/>
          <w:sz w:val="22"/>
        </w:rPr>
        <w:t xml:space="preserve">Na primer, </w:t>
      </w:r>
      <w:proofErr w:type="spellStart"/>
      <w:r w:rsidR="00093DA7">
        <w:rPr>
          <w:rFonts w:asciiTheme="minorHAnsi" w:hAnsiTheme="minorHAnsi" w:cstheme="minorHAnsi"/>
          <w:sz w:val="22"/>
        </w:rPr>
        <w:t>r</w:t>
      </w:r>
      <w:r>
        <w:rPr>
          <w:rFonts w:asciiTheme="minorHAnsi" w:hAnsiTheme="minorHAnsi" w:cstheme="minorHAnsi"/>
          <w:sz w:val="22"/>
        </w:rPr>
        <w:t>ashodi</w:t>
      </w:r>
      <w:proofErr w:type="spellEnd"/>
      <w:r>
        <w:rPr>
          <w:rFonts w:asciiTheme="minorHAnsi" w:hAnsiTheme="minorHAnsi" w:cstheme="minorHAnsi"/>
          <w:sz w:val="22"/>
        </w:rPr>
        <w:t xml:space="preserve"> za PVO </w:t>
      </w:r>
      <w:proofErr w:type="spellStart"/>
      <w:r>
        <w:rPr>
          <w:rFonts w:asciiTheme="minorHAnsi" w:hAnsiTheme="minorHAnsi" w:cstheme="minorHAnsi"/>
          <w:sz w:val="22"/>
        </w:rPr>
        <w:t>su</w:t>
      </w:r>
      <w:proofErr w:type="spellEnd"/>
      <w:r>
        <w:rPr>
          <w:rFonts w:asciiTheme="minorHAnsi" w:hAnsiTheme="minorHAnsi" w:cstheme="minorHAnsi"/>
          <w:sz w:val="22"/>
        </w:rPr>
        <w:t xml:space="preserve"> </w:t>
      </w:r>
      <w:proofErr w:type="spellStart"/>
      <w:r>
        <w:rPr>
          <w:rFonts w:asciiTheme="minorHAnsi" w:hAnsiTheme="minorHAnsi" w:cstheme="minorHAnsi"/>
          <w:sz w:val="22"/>
        </w:rPr>
        <w:t>nešto</w:t>
      </w:r>
      <w:proofErr w:type="spellEnd"/>
      <w:r>
        <w:rPr>
          <w:rFonts w:asciiTheme="minorHAnsi" w:hAnsiTheme="minorHAnsi" w:cstheme="minorHAnsi"/>
          <w:sz w:val="22"/>
        </w:rPr>
        <w:t xml:space="preserve"> </w:t>
      </w:r>
      <w:proofErr w:type="spellStart"/>
      <w:r>
        <w:rPr>
          <w:rFonts w:asciiTheme="minorHAnsi" w:hAnsiTheme="minorHAnsi" w:cstheme="minorHAnsi"/>
          <w:sz w:val="22"/>
        </w:rPr>
        <w:t>niži</w:t>
      </w:r>
      <w:proofErr w:type="spellEnd"/>
      <w:r>
        <w:rPr>
          <w:rFonts w:asciiTheme="minorHAnsi" w:hAnsiTheme="minorHAnsi" w:cstheme="minorHAnsi"/>
          <w:sz w:val="22"/>
        </w:rPr>
        <w:t xml:space="preserve"> </w:t>
      </w:r>
      <w:proofErr w:type="spellStart"/>
      <w:r>
        <w:rPr>
          <w:rFonts w:asciiTheme="minorHAnsi" w:hAnsiTheme="minorHAnsi" w:cstheme="minorHAnsi"/>
          <w:sz w:val="22"/>
        </w:rPr>
        <w:t>od</w:t>
      </w:r>
      <w:proofErr w:type="spellEnd"/>
      <w:r>
        <w:rPr>
          <w:rFonts w:asciiTheme="minorHAnsi" w:hAnsiTheme="minorHAnsi" w:cstheme="minorHAnsi"/>
          <w:sz w:val="22"/>
        </w:rPr>
        <w:t xml:space="preserve"> </w:t>
      </w:r>
      <w:proofErr w:type="spellStart"/>
      <w:r>
        <w:rPr>
          <w:rFonts w:asciiTheme="minorHAnsi" w:hAnsiTheme="minorHAnsi" w:cstheme="minorHAnsi"/>
          <w:sz w:val="22"/>
        </w:rPr>
        <w:t>proseka</w:t>
      </w:r>
      <w:proofErr w:type="spellEnd"/>
      <w:r>
        <w:rPr>
          <w:rFonts w:asciiTheme="minorHAnsi" w:hAnsiTheme="minorHAnsi" w:cstheme="minorHAnsi"/>
          <w:sz w:val="22"/>
        </w:rPr>
        <w:t xml:space="preserve"> </w:t>
      </w:r>
      <w:proofErr w:type="spellStart"/>
      <w:r w:rsidR="00093DA7">
        <w:rPr>
          <w:rFonts w:asciiTheme="minorHAnsi" w:hAnsiTheme="minorHAnsi" w:cstheme="minorHAnsi"/>
          <w:sz w:val="22"/>
        </w:rPr>
        <w:t>uporedivih</w:t>
      </w:r>
      <w:proofErr w:type="spellEnd"/>
      <w:r w:rsidR="00093DA7">
        <w:rPr>
          <w:rFonts w:asciiTheme="minorHAnsi" w:hAnsiTheme="minorHAnsi" w:cstheme="minorHAnsi"/>
          <w:sz w:val="22"/>
        </w:rPr>
        <w:t xml:space="preserve"> </w:t>
      </w:r>
      <w:proofErr w:type="spellStart"/>
      <w:r w:rsidR="00093DA7">
        <w:rPr>
          <w:rFonts w:asciiTheme="minorHAnsi" w:hAnsiTheme="minorHAnsi" w:cstheme="minorHAnsi"/>
          <w:sz w:val="22"/>
        </w:rPr>
        <w:t>opš</w:t>
      </w:r>
      <w:r w:rsidR="00C12EDD">
        <w:rPr>
          <w:rFonts w:asciiTheme="minorHAnsi" w:hAnsiTheme="minorHAnsi" w:cstheme="minorHAnsi"/>
          <w:sz w:val="22"/>
        </w:rPr>
        <w:t>t</w:t>
      </w:r>
      <w:r w:rsidR="00093DA7">
        <w:rPr>
          <w:rFonts w:asciiTheme="minorHAnsi" w:hAnsiTheme="minorHAnsi" w:cstheme="minorHAnsi"/>
          <w:sz w:val="22"/>
        </w:rPr>
        <w:t>ina</w:t>
      </w:r>
      <w:proofErr w:type="spellEnd"/>
      <w:r w:rsidR="00093DA7">
        <w:rPr>
          <w:rFonts w:asciiTheme="minorHAnsi" w:hAnsiTheme="minorHAnsi" w:cstheme="minorHAnsi"/>
          <w:sz w:val="22"/>
        </w:rPr>
        <w:t xml:space="preserve"> a </w:t>
      </w:r>
      <w:proofErr w:type="spellStart"/>
      <w:r w:rsidR="00093DA7">
        <w:rPr>
          <w:rFonts w:asciiTheme="minorHAnsi" w:hAnsiTheme="minorHAnsi" w:cstheme="minorHAnsi"/>
          <w:sz w:val="22"/>
        </w:rPr>
        <w:t>posebno</w:t>
      </w:r>
      <w:proofErr w:type="spellEnd"/>
      <w:r w:rsidR="00093DA7">
        <w:rPr>
          <w:rFonts w:asciiTheme="minorHAnsi" w:hAnsiTheme="minorHAnsi" w:cstheme="minorHAnsi"/>
          <w:sz w:val="22"/>
        </w:rPr>
        <w:t xml:space="preserve"> </w:t>
      </w:r>
      <w:proofErr w:type="spellStart"/>
      <w:r w:rsidR="00093DA7">
        <w:rPr>
          <w:rFonts w:asciiTheme="minorHAnsi" w:hAnsiTheme="minorHAnsi" w:cstheme="minorHAnsi"/>
          <w:sz w:val="22"/>
        </w:rPr>
        <w:t>proseka</w:t>
      </w:r>
      <w:proofErr w:type="spellEnd"/>
      <w:r w:rsidR="00093DA7">
        <w:rPr>
          <w:rFonts w:asciiTheme="minorHAnsi" w:hAnsiTheme="minorHAnsi" w:cstheme="minorHAnsi"/>
          <w:sz w:val="22"/>
        </w:rPr>
        <w:t xml:space="preserve"> </w:t>
      </w:r>
      <w:proofErr w:type="spellStart"/>
      <w:r w:rsidR="00093DA7">
        <w:rPr>
          <w:rFonts w:asciiTheme="minorHAnsi" w:hAnsiTheme="minorHAnsi" w:cstheme="minorHAnsi"/>
          <w:sz w:val="22"/>
        </w:rPr>
        <w:t>Srbije</w:t>
      </w:r>
      <w:proofErr w:type="spellEnd"/>
      <w:r w:rsidR="00093DA7">
        <w:rPr>
          <w:rFonts w:asciiTheme="minorHAnsi" w:hAnsiTheme="minorHAnsi" w:cstheme="minorHAnsi"/>
          <w:sz w:val="22"/>
        </w:rPr>
        <w:t xml:space="preserve">, </w:t>
      </w:r>
      <w:proofErr w:type="spellStart"/>
      <w:r>
        <w:rPr>
          <w:rFonts w:asciiTheme="minorHAnsi" w:hAnsiTheme="minorHAnsi" w:cstheme="minorHAnsi"/>
          <w:sz w:val="22"/>
        </w:rPr>
        <w:t>i</w:t>
      </w:r>
      <w:proofErr w:type="spellEnd"/>
      <w:r>
        <w:rPr>
          <w:rFonts w:asciiTheme="minorHAnsi" w:hAnsiTheme="minorHAnsi" w:cstheme="minorHAnsi"/>
          <w:sz w:val="22"/>
        </w:rPr>
        <w:t xml:space="preserve"> ne </w:t>
      </w:r>
      <w:proofErr w:type="spellStart"/>
      <w:r>
        <w:rPr>
          <w:rFonts w:asciiTheme="minorHAnsi" w:hAnsiTheme="minorHAnsi" w:cstheme="minorHAnsi"/>
          <w:sz w:val="22"/>
        </w:rPr>
        <w:t>primećuje</w:t>
      </w:r>
      <w:proofErr w:type="spellEnd"/>
      <w:r>
        <w:rPr>
          <w:rFonts w:asciiTheme="minorHAnsi" w:hAnsiTheme="minorHAnsi" w:cstheme="minorHAnsi"/>
          <w:sz w:val="22"/>
        </w:rPr>
        <w:t xml:space="preserve"> se trend</w:t>
      </w:r>
      <w:r w:rsidR="00093DA7">
        <w:rPr>
          <w:rFonts w:asciiTheme="minorHAnsi" w:hAnsiTheme="minorHAnsi" w:cstheme="minorHAnsi"/>
          <w:sz w:val="22"/>
        </w:rPr>
        <w:t xml:space="preserve"> </w:t>
      </w:r>
      <w:proofErr w:type="spellStart"/>
      <w:r w:rsidR="00093DA7">
        <w:rPr>
          <w:rFonts w:asciiTheme="minorHAnsi" w:hAnsiTheme="minorHAnsi" w:cstheme="minorHAnsi"/>
          <w:sz w:val="22"/>
        </w:rPr>
        <w:t>relativnog</w:t>
      </w:r>
      <w:proofErr w:type="spellEnd"/>
      <w:r>
        <w:rPr>
          <w:rFonts w:asciiTheme="minorHAnsi" w:hAnsiTheme="minorHAnsi" w:cstheme="minorHAnsi"/>
          <w:sz w:val="22"/>
        </w:rPr>
        <w:t xml:space="preserve"> </w:t>
      </w:r>
      <w:proofErr w:type="spellStart"/>
      <w:r>
        <w:rPr>
          <w:rFonts w:asciiTheme="minorHAnsi" w:hAnsiTheme="minorHAnsi" w:cstheme="minorHAnsi"/>
          <w:sz w:val="22"/>
        </w:rPr>
        <w:t>rasta</w:t>
      </w:r>
      <w:proofErr w:type="spellEnd"/>
      <w:r>
        <w:rPr>
          <w:rFonts w:asciiTheme="minorHAnsi" w:hAnsiTheme="minorHAnsi" w:cstheme="minorHAnsi"/>
          <w:sz w:val="22"/>
        </w:rPr>
        <w:t xml:space="preserve"> </w:t>
      </w:r>
      <w:proofErr w:type="spellStart"/>
      <w:r>
        <w:rPr>
          <w:rFonts w:asciiTheme="minorHAnsi" w:hAnsiTheme="minorHAnsi" w:cstheme="minorHAnsi"/>
          <w:sz w:val="22"/>
        </w:rPr>
        <w:t>rashoda</w:t>
      </w:r>
      <w:proofErr w:type="spellEnd"/>
      <w:r w:rsidR="00093DA7">
        <w:rPr>
          <w:rFonts w:asciiTheme="minorHAnsi" w:hAnsiTheme="minorHAnsi" w:cstheme="minorHAnsi"/>
          <w:sz w:val="22"/>
        </w:rPr>
        <w:t>.</w:t>
      </w:r>
    </w:p>
    <w:p w14:paraId="257D93D6" w14:textId="54A812C6" w:rsidR="00A65123" w:rsidRDefault="00A65123" w:rsidP="00093DA7">
      <w:pPr>
        <w:jc w:val="both"/>
        <w:rPr>
          <w:rFonts w:asciiTheme="minorHAnsi" w:hAnsiTheme="minorHAnsi"/>
          <w:sz w:val="22"/>
          <w:szCs w:val="22"/>
        </w:rPr>
      </w:pPr>
    </w:p>
    <w:p w14:paraId="4EE516A9" w14:textId="24631FFC" w:rsidR="00A35190" w:rsidRPr="00C12EDD" w:rsidRDefault="00912F4A" w:rsidP="00093DA7">
      <w:pPr>
        <w:jc w:val="both"/>
        <w:rPr>
          <w:rFonts w:asciiTheme="minorHAnsi" w:hAnsiTheme="minorHAnsi"/>
          <w:sz w:val="22"/>
          <w:szCs w:val="22"/>
        </w:rPr>
      </w:pPr>
      <w:r>
        <w:rPr>
          <w:rFonts w:asciiTheme="minorHAnsi" w:hAnsiTheme="minorHAnsi"/>
          <w:sz w:val="22"/>
          <w:szCs w:val="22"/>
        </w:rPr>
        <w:t xml:space="preserve">I </w:t>
      </w:r>
      <w:proofErr w:type="spellStart"/>
      <w:r>
        <w:rPr>
          <w:rFonts w:asciiTheme="minorHAnsi" w:hAnsiTheme="minorHAnsi"/>
          <w:sz w:val="22"/>
          <w:szCs w:val="22"/>
        </w:rPr>
        <w:t>pored</w:t>
      </w:r>
      <w:proofErr w:type="spellEnd"/>
      <w:r>
        <w:rPr>
          <w:rFonts w:asciiTheme="minorHAnsi" w:hAnsiTheme="minorHAnsi"/>
          <w:sz w:val="22"/>
          <w:szCs w:val="22"/>
        </w:rPr>
        <w:t xml:space="preserve"> toga,</w:t>
      </w:r>
      <w:r w:rsidR="0017558B">
        <w:rPr>
          <w:rFonts w:asciiTheme="minorHAnsi" w:hAnsiTheme="minorHAnsi"/>
          <w:sz w:val="22"/>
          <w:szCs w:val="22"/>
        </w:rPr>
        <w:t xml:space="preserve"> </w:t>
      </w:r>
      <w:proofErr w:type="spellStart"/>
      <w:r w:rsidR="00093DA7">
        <w:rPr>
          <w:rFonts w:asciiTheme="minorHAnsi" w:hAnsiTheme="minorHAnsi"/>
          <w:sz w:val="22"/>
          <w:szCs w:val="22"/>
        </w:rPr>
        <w:t>primećuje</w:t>
      </w:r>
      <w:proofErr w:type="spellEnd"/>
      <w:r w:rsidR="00093DA7">
        <w:rPr>
          <w:rFonts w:asciiTheme="minorHAnsi" w:hAnsiTheme="minorHAnsi"/>
          <w:sz w:val="22"/>
          <w:szCs w:val="22"/>
        </w:rPr>
        <w:t xml:space="preserve"> se </w:t>
      </w:r>
      <w:proofErr w:type="spellStart"/>
      <w:r w:rsidR="00093DA7">
        <w:rPr>
          <w:rFonts w:asciiTheme="minorHAnsi" w:hAnsiTheme="minorHAnsi"/>
          <w:sz w:val="22"/>
          <w:szCs w:val="22"/>
        </w:rPr>
        <w:t>značajan</w:t>
      </w:r>
      <w:proofErr w:type="spellEnd"/>
      <w:r w:rsidR="00093DA7">
        <w:rPr>
          <w:rFonts w:asciiTheme="minorHAnsi" w:hAnsiTheme="minorHAnsi"/>
          <w:sz w:val="22"/>
          <w:szCs w:val="22"/>
        </w:rPr>
        <w:t xml:space="preserve"> </w:t>
      </w:r>
      <w:proofErr w:type="spellStart"/>
      <w:r w:rsidR="00093DA7">
        <w:rPr>
          <w:rFonts w:asciiTheme="minorHAnsi" w:hAnsiTheme="minorHAnsi"/>
          <w:sz w:val="22"/>
          <w:szCs w:val="22"/>
        </w:rPr>
        <w:t>rast</w:t>
      </w:r>
      <w:proofErr w:type="spellEnd"/>
      <w:r w:rsidR="00093DA7">
        <w:rPr>
          <w:rFonts w:asciiTheme="minorHAnsi" w:hAnsiTheme="minorHAnsi"/>
          <w:sz w:val="22"/>
          <w:szCs w:val="22"/>
        </w:rPr>
        <w:t xml:space="preserve"> </w:t>
      </w:r>
      <w:proofErr w:type="spellStart"/>
      <w:r w:rsidR="0017558B">
        <w:rPr>
          <w:rFonts w:asciiTheme="minorHAnsi" w:hAnsiTheme="minorHAnsi"/>
          <w:sz w:val="22"/>
          <w:szCs w:val="22"/>
        </w:rPr>
        <w:t>obuhvat</w:t>
      </w:r>
      <w:r w:rsidR="00E30655">
        <w:rPr>
          <w:rFonts w:asciiTheme="minorHAnsi" w:hAnsiTheme="minorHAnsi"/>
          <w:sz w:val="22"/>
          <w:szCs w:val="22"/>
        </w:rPr>
        <w:t>a</w:t>
      </w:r>
      <w:proofErr w:type="spellEnd"/>
      <w:r w:rsidR="00E30655">
        <w:rPr>
          <w:rFonts w:asciiTheme="minorHAnsi" w:hAnsiTheme="minorHAnsi"/>
          <w:sz w:val="22"/>
          <w:szCs w:val="22"/>
        </w:rPr>
        <w:t xml:space="preserve"> </w:t>
      </w:r>
      <w:proofErr w:type="spellStart"/>
      <w:r w:rsidR="00E30655">
        <w:rPr>
          <w:rFonts w:asciiTheme="minorHAnsi" w:hAnsiTheme="minorHAnsi"/>
          <w:sz w:val="22"/>
          <w:szCs w:val="22"/>
        </w:rPr>
        <w:t>d</w:t>
      </w:r>
      <w:r>
        <w:rPr>
          <w:rFonts w:asciiTheme="minorHAnsi" w:hAnsiTheme="minorHAnsi"/>
          <w:sz w:val="22"/>
          <w:szCs w:val="22"/>
        </w:rPr>
        <w:t>ece</w:t>
      </w:r>
      <w:proofErr w:type="spellEnd"/>
      <w:r>
        <w:rPr>
          <w:rFonts w:asciiTheme="minorHAnsi" w:hAnsiTheme="minorHAnsi"/>
          <w:sz w:val="22"/>
          <w:szCs w:val="22"/>
        </w:rPr>
        <w:t xml:space="preserve"> PVO</w:t>
      </w:r>
      <w:r w:rsidR="00E30655">
        <w:rPr>
          <w:rFonts w:asciiTheme="minorHAnsi" w:hAnsiTheme="minorHAnsi"/>
          <w:sz w:val="22"/>
          <w:szCs w:val="22"/>
        </w:rPr>
        <w:t>,</w:t>
      </w:r>
      <w:r>
        <w:rPr>
          <w:rFonts w:asciiTheme="minorHAnsi" w:hAnsiTheme="minorHAnsi"/>
          <w:sz w:val="22"/>
          <w:szCs w:val="22"/>
        </w:rPr>
        <w:t xml:space="preserve"> </w:t>
      </w:r>
      <w:proofErr w:type="spellStart"/>
      <w:r w:rsidR="00C12EDD">
        <w:rPr>
          <w:rFonts w:asciiTheme="minorHAnsi" w:hAnsiTheme="minorHAnsi"/>
          <w:sz w:val="22"/>
          <w:szCs w:val="22"/>
        </w:rPr>
        <w:t>posebno</w:t>
      </w:r>
      <w:proofErr w:type="spellEnd"/>
      <w:r w:rsidR="00C12EDD">
        <w:rPr>
          <w:rFonts w:asciiTheme="minorHAnsi" w:hAnsiTheme="minorHAnsi"/>
          <w:sz w:val="22"/>
          <w:szCs w:val="22"/>
        </w:rPr>
        <w:t xml:space="preserve"> </w:t>
      </w:r>
      <w:proofErr w:type="spellStart"/>
      <w:r w:rsidR="00C12EDD">
        <w:rPr>
          <w:rFonts w:asciiTheme="minorHAnsi" w:hAnsiTheme="minorHAnsi"/>
          <w:sz w:val="22"/>
          <w:szCs w:val="22"/>
        </w:rPr>
        <w:t>dece</w:t>
      </w:r>
      <w:proofErr w:type="spellEnd"/>
      <w:r w:rsidR="00C12EDD">
        <w:rPr>
          <w:rFonts w:asciiTheme="minorHAnsi" w:hAnsiTheme="minorHAnsi"/>
          <w:sz w:val="22"/>
          <w:szCs w:val="22"/>
        </w:rPr>
        <w:t xml:space="preserve"> </w:t>
      </w:r>
      <w:proofErr w:type="spellStart"/>
      <w:r w:rsidR="00C12EDD">
        <w:rPr>
          <w:rFonts w:asciiTheme="minorHAnsi" w:hAnsiTheme="minorHAnsi"/>
          <w:sz w:val="22"/>
          <w:szCs w:val="22"/>
        </w:rPr>
        <w:t>jaslenog</w:t>
      </w:r>
      <w:proofErr w:type="spellEnd"/>
      <w:r w:rsidR="00C12EDD">
        <w:rPr>
          <w:rFonts w:asciiTheme="minorHAnsi" w:hAnsiTheme="minorHAnsi"/>
          <w:sz w:val="22"/>
          <w:szCs w:val="22"/>
        </w:rPr>
        <w:t xml:space="preserve"> </w:t>
      </w:r>
      <w:proofErr w:type="spellStart"/>
      <w:r w:rsidR="00C12EDD">
        <w:rPr>
          <w:rFonts w:asciiTheme="minorHAnsi" w:hAnsiTheme="minorHAnsi"/>
          <w:sz w:val="22"/>
          <w:szCs w:val="22"/>
        </w:rPr>
        <w:t>uzrasta</w:t>
      </w:r>
      <w:proofErr w:type="spellEnd"/>
      <w:r w:rsidR="00C12EDD">
        <w:rPr>
          <w:rFonts w:asciiTheme="minorHAnsi" w:hAnsiTheme="minorHAnsi"/>
          <w:sz w:val="22"/>
          <w:szCs w:val="22"/>
        </w:rPr>
        <w:t xml:space="preserve">. </w:t>
      </w:r>
      <w:proofErr w:type="spellStart"/>
      <w:r w:rsidR="00C12EDD">
        <w:rPr>
          <w:rFonts w:asciiTheme="minorHAnsi" w:hAnsiTheme="minorHAnsi"/>
          <w:sz w:val="22"/>
          <w:szCs w:val="22"/>
        </w:rPr>
        <w:t>Međutim</w:t>
      </w:r>
      <w:proofErr w:type="spellEnd"/>
      <w:r w:rsidR="00C12EDD">
        <w:rPr>
          <w:rFonts w:asciiTheme="minorHAnsi" w:hAnsiTheme="minorHAnsi"/>
          <w:sz w:val="22"/>
          <w:szCs w:val="22"/>
        </w:rPr>
        <w:t xml:space="preserve">, </w:t>
      </w:r>
      <w:proofErr w:type="spellStart"/>
      <w:r w:rsidR="00C12EDD">
        <w:rPr>
          <w:rFonts w:asciiTheme="minorHAnsi" w:hAnsiTheme="minorHAnsi"/>
          <w:sz w:val="22"/>
          <w:szCs w:val="22"/>
        </w:rPr>
        <w:t>sem</w:t>
      </w:r>
      <w:proofErr w:type="spellEnd"/>
      <w:r w:rsidR="00C12EDD">
        <w:rPr>
          <w:rFonts w:asciiTheme="minorHAnsi" w:hAnsiTheme="minorHAnsi"/>
          <w:sz w:val="22"/>
          <w:szCs w:val="22"/>
        </w:rPr>
        <w:t xml:space="preserve"> u </w:t>
      </w:r>
      <w:proofErr w:type="spellStart"/>
      <w:r w:rsidR="00C12EDD">
        <w:rPr>
          <w:rFonts w:asciiTheme="minorHAnsi" w:hAnsiTheme="minorHAnsi"/>
          <w:sz w:val="22"/>
          <w:szCs w:val="22"/>
        </w:rPr>
        <w:t>slučaju</w:t>
      </w:r>
      <w:proofErr w:type="spellEnd"/>
      <w:r w:rsidR="00C12EDD">
        <w:rPr>
          <w:rFonts w:asciiTheme="minorHAnsi" w:hAnsiTheme="minorHAnsi"/>
          <w:sz w:val="22"/>
          <w:szCs w:val="22"/>
        </w:rPr>
        <w:t xml:space="preserve"> </w:t>
      </w:r>
      <w:proofErr w:type="spellStart"/>
      <w:r w:rsidR="00C12EDD">
        <w:rPr>
          <w:rFonts w:asciiTheme="minorHAnsi" w:hAnsiTheme="minorHAnsi"/>
          <w:sz w:val="22"/>
          <w:szCs w:val="22"/>
        </w:rPr>
        <w:t>obaveznog</w:t>
      </w:r>
      <w:proofErr w:type="spellEnd"/>
      <w:r w:rsidR="00C12EDD">
        <w:rPr>
          <w:rFonts w:asciiTheme="minorHAnsi" w:hAnsiTheme="minorHAnsi"/>
          <w:sz w:val="22"/>
          <w:szCs w:val="22"/>
        </w:rPr>
        <w:t xml:space="preserve"> PPP-a</w:t>
      </w:r>
      <w:r w:rsidR="00061868">
        <w:rPr>
          <w:rFonts w:asciiTheme="minorHAnsi" w:hAnsiTheme="minorHAnsi"/>
          <w:sz w:val="22"/>
          <w:szCs w:val="22"/>
        </w:rPr>
        <w:t>,</w:t>
      </w:r>
      <w:r w:rsidR="00C12EDD">
        <w:rPr>
          <w:rFonts w:asciiTheme="minorHAnsi" w:hAnsiTheme="minorHAnsi"/>
          <w:sz w:val="22"/>
          <w:szCs w:val="22"/>
        </w:rPr>
        <w:t xml:space="preserve"> </w:t>
      </w:r>
      <w:proofErr w:type="spellStart"/>
      <w:r w:rsidR="00C12EDD">
        <w:rPr>
          <w:rFonts w:asciiTheme="minorHAnsi" w:hAnsiTheme="minorHAnsi"/>
          <w:sz w:val="22"/>
          <w:szCs w:val="22"/>
        </w:rPr>
        <w:t>obuhvat</w:t>
      </w:r>
      <w:proofErr w:type="spellEnd"/>
      <w:r w:rsidR="00C12EDD">
        <w:rPr>
          <w:rFonts w:asciiTheme="minorHAnsi" w:hAnsiTheme="minorHAnsi"/>
          <w:sz w:val="22"/>
          <w:szCs w:val="22"/>
        </w:rPr>
        <w:t xml:space="preserve"> je </w:t>
      </w:r>
      <w:proofErr w:type="spellStart"/>
      <w:r w:rsidR="00C12EDD">
        <w:rPr>
          <w:rFonts w:asciiTheme="minorHAnsi" w:hAnsiTheme="minorHAnsi"/>
          <w:sz w:val="22"/>
          <w:szCs w:val="22"/>
        </w:rPr>
        <w:t>još</w:t>
      </w:r>
      <w:proofErr w:type="spellEnd"/>
      <w:r w:rsidR="00C12EDD">
        <w:rPr>
          <w:rFonts w:asciiTheme="minorHAnsi" w:hAnsiTheme="minorHAnsi"/>
          <w:sz w:val="22"/>
          <w:szCs w:val="22"/>
        </w:rPr>
        <w:t xml:space="preserve"> </w:t>
      </w:r>
      <w:proofErr w:type="spellStart"/>
      <w:r w:rsidR="00C12EDD">
        <w:rPr>
          <w:rFonts w:asciiTheme="minorHAnsi" w:hAnsiTheme="minorHAnsi"/>
          <w:sz w:val="22"/>
          <w:szCs w:val="22"/>
        </w:rPr>
        <w:t>uvek</w:t>
      </w:r>
      <w:proofErr w:type="spellEnd"/>
      <w:r w:rsidR="00C12EDD">
        <w:rPr>
          <w:rFonts w:asciiTheme="minorHAnsi" w:hAnsiTheme="minorHAnsi"/>
          <w:sz w:val="22"/>
          <w:szCs w:val="22"/>
        </w:rPr>
        <w:t xml:space="preserve"> </w:t>
      </w:r>
      <w:proofErr w:type="spellStart"/>
      <w:r w:rsidR="00C12EDD">
        <w:rPr>
          <w:rFonts w:asciiTheme="minorHAnsi" w:hAnsiTheme="minorHAnsi"/>
          <w:sz w:val="22"/>
          <w:szCs w:val="22"/>
        </w:rPr>
        <w:t>niži</w:t>
      </w:r>
      <w:proofErr w:type="spellEnd"/>
      <w:r w:rsidR="00C12EDD">
        <w:rPr>
          <w:rFonts w:asciiTheme="minorHAnsi" w:hAnsiTheme="minorHAnsi"/>
          <w:sz w:val="22"/>
          <w:szCs w:val="22"/>
        </w:rPr>
        <w:t xml:space="preserve"> </w:t>
      </w:r>
      <w:proofErr w:type="spellStart"/>
      <w:r w:rsidR="00C12EDD">
        <w:rPr>
          <w:rFonts w:asciiTheme="minorHAnsi" w:hAnsiTheme="minorHAnsi"/>
          <w:sz w:val="22"/>
          <w:szCs w:val="22"/>
        </w:rPr>
        <w:t>i</w:t>
      </w:r>
      <w:proofErr w:type="spellEnd"/>
      <w:r w:rsidR="00C12EDD">
        <w:rPr>
          <w:rFonts w:asciiTheme="minorHAnsi" w:hAnsiTheme="minorHAnsi"/>
          <w:sz w:val="22"/>
          <w:szCs w:val="22"/>
        </w:rPr>
        <w:t xml:space="preserve"> od </w:t>
      </w:r>
      <w:proofErr w:type="spellStart"/>
      <w:r w:rsidR="00C12EDD">
        <w:rPr>
          <w:rFonts w:asciiTheme="minorHAnsi" w:hAnsiTheme="minorHAnsi"/>
          <w:sz w:val="22"/>
          <w:szCs w:val="22"/>
        </w:rPr>
        <w:t>proseka</w:t>
      </w:r>
      <w:proofErr w:type="spellEnd"/>
      <w:r w:rsidR="00C12EDD">
        <w:rPr>
          <w:rFonts w:asciiTheme="minorHAnsi" w:hAnsiTheme="minorHAnsi"/>
          <w:sz w:val="22"/>
          <w:szCs w:val="22"/>
        </w:rPr>
        <w:t xml:space="preserve"> </w:t>
      </w:r>
      <w:proofErr w:type="spellStart"/>
      <w:r w:rsidR="00C12EDD">
        <w:rPr>
          <w:rFonts w:asciiTheme="minorHAnsi" w:hAnsiTheme="minorHAnsi"/>
          <w:sz w:val="22"/>
          <w:szCs w:val="22"/>
        </w:rPr>
        <w:t>Srbije</w:t>
      </w:r>
      <w:proofErr w:type="spellEnd"/>
      <w:r w:rsidR="00C12EDD">
        <w:rPr>
          <w:rFonts w:asciiTheme="minorHAnsi" w:hAnsiTheme="minorHAnsi"/>
          <w:sz w:val="22"/>
          <w:szCs w:val="22"/>
        </w:rPr>
        <w:t xml:space="preserve"> a </w:t>
      </w:r>
      <w:proofErr w:type="spellStart"/>
      <w:r w:rsidR="00C12EDD">
        <w:rPr>
          <w:rFonts w:asciiTheme="minorHAnsi" w:hAnsiTheme="minorHAnsi"/>
          <w:sz w:val="22"/>
          <w:szCs w:val="22"/>
        </w:rPr>
        <w:t>posebno</w:t>
      </w:r>
      <w:proofErr w:type="spellEnd"/>
      <w:r w:rsidR="00C12EDD">
        <w:rPr>
          <w:rFonts w:asciiTheme="minorHAnsi" w:hAnsiTheme="minorHAnsi"/>
          <w:sz w:val="22"/>
          <w:szCs w:val="22"/>
        </w:rPr>
        <w:t xml:space="preserve"> u </w:t>
      </w:r>
      <w:proofErr w:type="spellStart"/>
      <w:r w:rsidR="00C12EDD">
        <w:rPr>
          <w:rFonts w:asciiTheme="minorHAnsi" w:hAnsiTheme="minorHAnsi"/>
          <w:sz w:val="22"/>
          <w:szCs w:val="22"/>
        </w:rPr>
        <w:t>poređenju</w:t>
      </w:r>
      <w:proofErr w:type="spellEnd"/>
      <w:r w:rsidR="00C12EDD">
        <w:rPr>
          <w:rFonts w:asciiTheme="minorHAnsi" w:hAnsiTheme="minorHAnsi"/>
          <w:sz w:val="22"/>
          <w:szCs w:val="22"/>
        </w:rPr>
        <w:t xml:space="preserve"> </w:t>
      </w:r>
      <w:proofErr w:type="spellStart"/>
      <w:r w:rsidR="00C12EDD">
        <w:rPr>
          <w:rFonts w:asciiTheme="minorHAnsi" w:hAnsiTheme="minorHAnsi"/>
          <w:sz w:val="22"/>
          <w:szCs w:val="22"/>
        </w:rPr>
        <w:t>sa</w:t>
      </w:r>
      <w:proofErr w:type="spellEnd"/>
      <w:r w:rsidR="00C12EDD">
        <w:rPr>
          <w:rFonts w:asciiTheme="minorHAnsi" w:hAnsiTheme="minorHAnsi"/>
          <w:sz w:val="22"/>
          <w:szCs w:val="22"/>
        </w:rPr>
        <w:t xml:space="preserve"> </w:t>
      </w:r>
      <w:proofErr w:type="spellStart"/>
      <w:r w:rsidR="00C12EDD">
        <w:rPr>
          <w:rFonts w:asciiTheme="minorHAnsi" w:hAnsiTheme="minorHAnsi"/>
          <w:sz w:val="22"/>
          <w:szCs w:val="22"/>
        </w:rPr>
        <w:t>Južnoba</w:t>
      </w:r>
      <w:r w:rsidR="00604ACF">
        <w:rPr>
          <w:rFonts w:asciiTheme="minorHAnsi" w:hAnsiTheme="minorHAnsi"/>
          <w:sz w:val="22"/>
          <w:szCs w:val="22"/>
        </w:rPr>
        <w:t>čkom</w:t>
      </w:r>
      <w:proofErr w:type="spellEnd"/>
      <w:r w:rsidR="00C12EDD">
        <w:rPr>
          <w:rFonts w:asciiTheme="minorHAnsi" w:hAnsiTheme="minorHAnsi"/>
          <w:sz w:val="22"/>
          <w:szCs w:val="22"/>
        </w:rPr>
        <w:t xml:space="preserve"> </w:t>
      </w:r>
      <w:proofErr w:type="spellStart"/>
      <w:r w:rsidR="00C12EDD">
        <w:rPr>
          <w:rFonts w:asciiTheme="minorHAnsi" w:hAnsiTheme="minorHAnsi"/>
          <w:sz w:val="22"/>
          <w:szCs w:val="22"/>
        </w:rPr>
        <w:t>oblašću</w:t>
      </w:r>
      <w:proofErr w:type="spellEnd"/>
      <w:r w:rsidR="00C12EDD">
        <w:rPr>
          <w:rFonts w:asciiTheme="minorHAnsi" w:hAnsiTheme="minorHAnsi"/>
          <w:sz w:val="22"/>
          <w:szCs w:val="22"/>
        </w:rPr>
        <w:t xml:space="preserve"> </w:t>
      </w:r>
      <w:proofErr w:type="spellStart"/>
      <w:r w:rsidR="00C12EDD">
        <w:rPr>
          <w:rFonts w:asciiTheme="minorHAnsi" w:hAnsiTheme="minorHAnsi"/>
          <w:sz w:val="22"/>
          <w:szCs w:val="22"/>
        </w:rPr>
        <w:t>gde</w:t>
      </w:r>
      <w:proofErr w:type="spellEnd"/>
      <w:r w:rsidR="00C12EDD">
        <w:rPr>
          <w:rFonts w:asciiTheme="minorHAnsi" w:hAnsiTheme="minorHAnsi"/>
          <w:sz w:val="22"/>
          <w:szCs w:val="22"/>
        </w:rPr>
        <w:t xml:space="preserve"> </w:t>
      </w:r>
      <w:proofErr w:type="spellStart"/>
      <w:r w:rsidR="00C12EDD">
        <w:rPr>
          <w:rFonts w:asciiTheme="minorHAnsi" w:hAnsiTheme="minorHAnsi"/>
          <w:sz w:val="22"/>
          <w:szCs w:val="22"/>
        </w:rPr>
        <w:t>Bač</w:t>
      </w:r>
      <w:proofErr w:type="spellEnd"/>
      <w:r w:rsidR="00C12EDD">
        <w:rPr>
          <w:rFonts w:asciiTheme="minorHAnsi" w:hAnsiTheme="minorHAnsi"/>
          <w:sz w:val="22"/>
          <w:szCs w:val="22"/>
        </w:rPr>
        <w:t xml:space="preserve"> </w:t>
      </w:r>
      <w:proofErr w:type="spellStart"/>
      <w:r w:rsidR="00C12EDD">
        <w:rPr>
          <w:rFonts w:asciiTheme="minorHAnsi" w:hAnsiTheme="minorHAnsi"/>
          <w:sz w:val="22"/>
          <w:szCs w:val="22"/>
        </w:rPr>
        <w:t>pripada</w:t>
      </w:r>
      <w:proofErr w:type="spellEnd"/>
      <w:r w:rsidR="00C12EDD">
        <w:rPr>
          <w:rFonts w:asciiTheme="minorHAnsi" w:hAnsiTheme="minorHAnsi"/>
          <w:sz w:val="22"/>
          <w:szCs w:val="22"/>
        </w:rPr>
        <w:t xml:space="preserve"> </w:t>
      </w:r>
      <w:proofErr w:type="spellStart"/>
      <w:r w:rsidR="00C12EDD">
        <w:rPr>
          <w:rFonts w:asciiTheme="minorHAnsi" w:hAnsiTheme="minorHAnsi"/>
          <w:sz w:val="22"/>
          <w:szCs w:val="22"/>
        </w:rPr>
        <w:t>i</w:t>
      </w:r>
      <w:proofErr w:type="spellEnd"/>
      <w:r w:rsidR="00C12EDD">
        <w:rPr>
          <w:rFonts w:asciiTheme="minorHAnsi" w:hAnsiTheme="minorHAnsi"/>
          <w:sz w:val="22"/>
          <w:szCs w:val="22"/>
        </w:rPr>
        <w:t xml:space="preserve"> </w:t>
      </w:r>
      <w:proofErr w:type="spellStart"/>
      <w:r w:rsidR="00C12EDD">
        <w:rPr>
          <w:rFonts w:asciiTheme="minorHAnsi" w:hAnsiTheme="minorHAnsi"/>
          <w:sz w:val="22"/>
          <w:szCs w:val="22"/>
        </w:rPr>
        <w:t>gde</w:t>
      </w:r>
      <w:proofErr w:type="spellEnd"/>
      <w:r w:rsidR="00C12EDD">
        <w:rPr>
          <w:rFonts w:asciiTheme="minorHAnsi" w:hAnsiTheme="minorHAnsi"/>
          <w:sz w:val="22"/>
          <w:szCs w:val="22"/>
        </w:rPr>
        <w:t xml:space="preserve"> je </w:t>
      </w:r>
      <w:proofErr w:type="spellStart"/>
      <w:r w:rsidR="00C12EDD">
        <w:rPr>
          <w:rFonts w:asciiTheme="minorHAnsi" w:hAnsiTheme="minorHAnsi"/>
          <w:sz w:val="22"/>
          <w:szCs w:val="22"/>
        </w:rPr>
        <w:t>obuhvat</w:t>
      </w:r>
      <w:proofErr w:type="spellEnd"/>
      <w:r w:rsidR="00C12EDD">
        <w:rPr>
          <w:rFonts w:asciiTheme="minorHAnsi" w:hAnsiTheme="minorHAnsi"/>
          <w:sz w:val="22"/>
          <w:szCs w:val="22"/>
        </w:rPr>
        <w:t xml:space="preserve"> </w:t>
      </w:r>
      <w:proofErr w:type="spellStart"/>
      <w:r w:rsidR="00C12EDD">
        <w:rPr>
          <w:rFonts w:asciiTheme="minorHAnsi" w:hAnsiTheme="minorHAnsi"/>
          <w:sz w:val="22"/>
          <w:szCs w:val="22"/>
        </w:rPr>
        <w:t>dece</w:t>
      </w:r>
      <w:proofErr w:type="spellEnd"/>
      <w:r w:rsidR="00C12EDD">
        <w:rPr>
          <w:rFonts w:asciiTheme="minorHAnsi" w:hAnsiTheme="minorHAnsi"/>
          <w:sz w:val="22"/>
          <w:szCs w:val="22"/>
        </w:rPr>
        <w:t xml:space="preserve"> PVO </w:t>
      </w:r>
      <w:proofErr w:type="spellStart"/>
      <w:r w:rsidR="00C12EDD">
        <w:rPr>
          <w:rFonts w:asciiTheme="minorHAnsi" w:hAnsiTheme="minorHAnsi"/>
          <w:sz w:val="22"/>
          <w:szCs w:val="22"/>
        </w:rPr>
        <w:t>izuzetno</w:t>
      </w:r>
      <w:proofErr w:type="spellEnd"/>
      <w:r w:rsidR="00C12EDD">
        <w:rPr>
          <w:rFonts w:asciiTheme="minorHAnsi" w:hAnsiTheme="minorHAnsi"/>
          <w:sz w:val="22"/>
          <w:szCs w:val="22"/>
        </w:rPr>
        <w:t xml:space="preserve"> </w:t>
      </w:r>
      <w:proofErr w:type="spellStart"/>
      <w:r w:rsidR="00C12EDD">
        <w:rPr>
          <w:rFonts w:asciiTheme="minorHAnsi" w:hAnsiTheme="minorHAnsi"/>
          <w:sz w:val="22"/>
          <w:szCs w:val="22"/>
        </w:rPr>
        <w:t>visok</w:t>
      </w:r>
      <w:proofErr w:type="spellEnd"/>
      <w:r w:rsidR="00C12EDD">
        <w:rPr>
          <w:rFonts w:asciiTheme="minorHAnsi" w:hAnsiTheme="minorHAnsi"/>
          <w:sz w:val="22"/>
          <w:szCs w:val="22"/>
        </w:rPr>
        <w:t xml:space="preserve">. </w:t>
      </w:r>
      <w:proofErr w:type="spellStart"/>
      <w:r w:rsidR="00C12EDD" w:rsidRPr="00470E4A">
        <w:rPr>
          <w:rFonts w:asciiTheme="minorHAnsi" w:hAnsiTheme="minorHAnsi"/>
          <w:sz w:val="22"/>
          <w:szCs w:val="22"/>
        </w:rPr>
        <w:t>Kada</w:t>
      </w:r>
      <w:proofErr w:type="spellEnd"/>
      <w:r w:rsidR="00C12EDD" w:rsidRPr="00470E4A">
        <w:rPr>
          <w:rFonts w:asciiTheme="minorHAnsi" w:hAnsiTheme="minorHAnsi"/>
          <w:sz w:val="22"/>
          <w:szCs w:val="22"/>
        </w:rPr>
        <w:t xml:space="preserve"> </w:t>
      </w:r>
      <w:proofErr w:type="spellStart"/>
      <w:r w:rsidR="00C12EDD" w:rsidRPr="00470E4A">
        <w:rPr>
          <w:rFonts w:asciiTheme="minorHAnsi" w:hAnsiTheme="minorHAnsi"/>
          <w:sz w:val="22"/>
          <w:szCs w:val="22"/>
        </w:rPr>
        <w:t>imamo</w:t>
      </w:r>
      <w:proofErr w:type="spellEnd"/>
      <w:r w:rsidR="00C12EDD" w:rsidRPr="00470E4A">
        <w:rPr>
          <w:rFonts w:asciiTheme="minorHAnsi" w:hAnsiTheme="minorHAnsi"/>
          <w:sz w:val="22"/>
          <w:szCs w:val="22"/>
        </w:rPr>
        <w:t xml:space="preserve"> u </w:t>
      </w:r>
      <w:proofErr w:type="spellStart"/>
      <w:r w:rsidR="00C12EDD" w:rsidRPr="00470E4A">
        <w:rPr>
          <w:rFonts w:asciiTheme="minorHAnsi" w:hAnsiTheme="minorHAnsi"/>
          <w:sz w:val="22"/>
          <w:szCs w:val="22"/>
        </w:rPr>
        <w:t>vidu</w:t>
      </w:r>
      <w:proofErr w:type="spellEnd"/>
      <w:r w:rsidR="00C12EDD" w:rsidRPr="00470E4A">
        <w:rPr>
          <w:rFonts w:asciiTheme="minorHAnsi" w:hAnsiTheme="minorHAnsi"/>
          <w:sz w:val="22"/>
          <w:szCs w:val="22"/>
        </w:rPr>
        <w:t xml:space="preserve"> </w:t>
      </w:r>
      <w:proofErr w:type="spellStart"/>
      <w:r w:rsidR="00C12EDD" w:rsidRPr="00470E4A">
        <w:rPr>
          <w:rFonts w:asciiTheme="minorHAnsi" w:hAnsiTheme="minorHAnsi"/>
          <w:sz w:val="22"/>
          <w:szCs w:val="22"/>
        </w:rPr>
        <w:t>ciljane</w:t>
      </w:r>
      <w:proofErr w:type="spellEnd"/>
      <w:r w:rsidR="00C12EDD" w:rsidRPr="00470E4A">
        <w:rPr>
          <w:rFonts w:asciiTheme="minorHAnsi" w:hAnsiTheme="minorHAnsi"/>
          <w:sz w:val="22"/>
          <w:szCs w:val="22"/>
        </w:rPr>
        <w:t xml:space="preserve"> </w:t>
      </w:r>
      <w:proofErr w:type="spellStart"/>
      <w:r w:rsidR="00C12EDD" w:rsidRPr="00470E4A">
        <w:rPr>
          <w:rFonts w:asciiTheme="minorHAnsi" w:hAnsiTheme="minorHAnsi"/>
          <w:sz w:val="22"/>
          <w:szCs w:val="22"/>
        </w:rPr>
        <w:t>vrednosti</w:t>
      </w:r>
      <w:proofErr w:type="spellEnd"/>
      <w:r w:rsidR="00C12EDD" w:rsidRPr="00470E4A">
        <w:rPr>
          <w:rFonts w:asciiTheme="minorHAnsi" w:hAnsiTheme="minorHAnsi"/>
          <w:sz w:val="22"/>
          <w:szCs w:val="22"/>
        </w:rPr>
        <w:t xml:space="preserve"> od bar 30% za </w:t>
      </w:r>
      <w:proofErr w:type="spellStart"/>
      <w:r w:rsidR="00C12EDD" w:rsidRPr="00470E4A">
        <w:rPr>
          <w:rFonts w:asciiTheme="minorHAnsi" w:hAnsiTheme="minorHAnsi"/>
          <w:sz w:val="22"/>
          <w:szCs w:val="22"/>
        </w:rPr>
        <w:t>jasleni</w:t>
      </w:r>
      <w:proofErr w:type="spellEnd"/>
      <w:r w:rsidR="00C12EDD" w:rsidRPr="00470E4A">
        <w:rPr>
          <w:rFonts w:asciiTheme="minorHAnsi" w:hAnsiTheme="minorHAnsi"/>
          <w:sz w:val="22"/>
          <w:szCs w:val="22"/>
        </w:rPr>
        <w:t xml:space="preserve"> </w:t>
      </w:r>
      <w:proofErr w:type="spellStart"/>
      <w:r w:rsidR="00C12EDD" w:rsidRPr="00470E4A">
        <w:rPr>
          <w:rFonts w:asciiTheme="minorHAnsi" w:hAnsiTheme="minorHAnsi"/>
          <w:sz w:val="22"/>
          <w:szCs w:val="22"/>
        </w:rPr>
        <w:t>uzrast</w:t>
      </w:r>
      <w:proofErr w:type="spellEnd"/>
      <w:r w:rsidR="00C12EDD" w:rsidRPr="00470E4A">
        <w:rPr>
          <w:rFonts w:asciiTheme="minorHAnsi" w:hAnsiTheme="minorHAnsi"/>
          <w:sz w:val="22"/>
          <w:szCs w:val="22"/>
        </w:rPr>
        <w:t xml:space="preserve"> </w:t>
      </w:r>
      <w:proofErr w:type="spellStart"/>
      <w:r w:rsidR="00C12EDD" w:rsidRPr="00470E4A">
        <w:rPr>
          <w:rFonts w:asciiTheme="minorHAnsi" w:hAnsiTheme="minorHAnsi"/>
          <w:sz w:val="22"/>
          <w:szCs w:val="22"/>
        </w:rPr>
        <w:t>i</w:t>
      </w:r>
      <w:proofErr w:type="spellEnd"/>
      <w:r w:rsidR="00C12EDD" w:rsidRPr="00470E4A">
        <w:rPr>
          <w:rFonts w:asciiTheme="minorHAnsi" w:hAnsiTheme="minorHAnsi"/>
          <w:sz w:val="22"/>
          <w:szCs w:val="22"/>
        </w:rPr>
        <w:t xml:space="preserve"> </w:t>
      </w:r>
      <w:proofErr w:type="spellStart"/>
      <w:r w:rsidR="00C12EDD" w:rsidRPr="00470E4A">
        <w:rPr>
          <w:rFonts w:asciiTheme="minorHAnsi" w:hAnsiTheme="minorHAnsi"/>
          <w:sz w:val="22"/>
          <w:szCs w:val="22"/>
        </w:rPr>
        <w:t>preko</w:t>
      </w:r>
      <w:proofErr w:type="spellEnd"/>
      <w:r w:rsidR="00C12EDD" w:rsidRPr="00470E4A">
        <w:rPr>
          <w:rFonts w:asciiTheme="minorHAnsi" w:hAnsiTheme="minorHAnsi"/>
          <w:sz w:val="22"/>
          <w:szCs w:val="22"/>
        </w:rPr>
        <w:t xml:space="preserve"> 90% za </w:t>
      </w:r>
      <w:proofErr w:type="spellStart"/>
      <w:r w:rsidR="00C12EDD" w:rsidRPr="00470E4A">
        <w:rPr>
          <w:rFonts w:asciiTheme="minorHAnsi" w:hAnsiTheme="minorHAnsi"/>
          <w:sz w:val="22"/>
          <w:szCs w:val="22"/>
        </w:rPr>
        <w:t>decu</w:t>
      </w:r>
      <w:proofErr w:type="spellEnd"/>
      <w:r w:rsidR="00C12EDD" w:rsidRPr="00470E4A">
        <w:rPr>
          <w:rFonts w:asciiTheme="minorHAnsi" w:hAnsiTheme="minorHAnsi"/>
          <w:sz w:val="22"/>
          <w:szCs w:val="22"/>
        </w:rPr>
        <w:t xml:space="preserve"> </w:t>
      </w:r>
      <w:proofErr w:type="spellStart"/>
      <w:r w:rsidR="00C12EDD" w:rsidRPr="00470E4A">
        <w:rPr>
          <w:rFonts w:asciiTheme="minorHAnsi" w:hAnsiTheme="minorHAnsi"/>
          <w:sz w:val="22"/>
          <w:szCs w:val="22"/>
        </w:rPr>
        <w:t>vrtićkog</w:t>
      </w:r>
      <w:proofErr w:type="spellEnd"/>
      <w:r w:rsidR="00C12EDD" w:rsidRPr="00470E4A">
        <w:rPr>
          <w:rFonts w:asciiTheme="minorHAnsi" w:hAnsiTheme="minorHAnsi"/>
          <w:sz w:val="22"/>
          <w:szCs w:val="22"/>
        </w:rPr>
        <w:t xml:space="preserve"> </w:t>
      </w:r>
      <w:proofErr w:type="spellStart"/>
      <w:r w:rsidR="00C12EDD" w:rsidRPr="00470E4A">
        <w:rPr>
          <w:rFonts w:asciiTheme="minorHAnsi" w:hAnsiTheme="minorHAnsi"/>
          <w:sz w:val="22"/>
          <w:szCs w:val="22"/>
        </w:rPr>
        <w:t>uzrasta</w:t>
      </w:r>
      <w:proofErr w:type="spellEnd"/>
      <w:r w:rsidR="00C12EDD" w:rsidRPr="00470E4A">
        <w:rPr>
          <w:rFonts w:asciiTheme="minorHAnsi" w:hAnsiTheme="minorHAnsi"/>
          <w:sz w:val="22"/>
          <w:szCs w:val="22"/>
        </w:rPr>
        <w:t xml:space="preserve"> (</w:t>
      </w:r>
      <w:proofErr w:type="spellStart"/>
      <w:r w:rsidR="00C12EDD" w:rsidRPr="00470E4A">
        <w:rPr>
          <w:rFonts w:asciiTheme="minorHAnsi" w:hAnsiTheme="minorHAnsi"/>
          <w:sz w:val="22"/>
          <w:szCs w:val="22"/>
        </w:rPr>
        <w:t>vidi</w:t>
      </w:r>
      <w:proofErr w:type="spellEnd"/>
      <w:r w:rsidR="00C12EDD" w:rsidRPr="00470E4A">
        <w:rPr>
          <w:rFonts w:asciiTheme="minorHAnsi" w:hAnsiTheme="minorHAnsi"/>
          <w:sz w:val="22"/>
          <w:szCs w:val="22"/>
        </w:rPr>
        <w:t xml:space="preserve"> </w:t>
      </w:r>
      <w:proofErr w:type="spellStart"/>
      <w:r w:rsidR="00C12EDD" w:rsidRPr="00470E4A">
        <w:rPr>
          <w:rFonts w:asciiTheme="minorHAnsi" w:hAnsiTheme="minorHAnsi"/>
          <w:sz w:val="22"/>
          <w:szCs w:val="22"/>
        </w:rPr>
        <w:t>Okvir</w:t>
      </w:r>
      <w:proofErr w:type="spellEnd"/>
      <w:r w:rsidR="00C12EDD" w:rsidRPr="00470E4A">
        <w:rPr>
          <w:rFonts w:asciiTheme="minorHAnsi" w:hAnsiTheme="minorHAnsi"/>
          <w:sz w:val="22"/>
          <w:szCs w:val="22"/>
        </w:rPr>
        <w:t xml:space="preserve"> </w:t>
      </w:r>
      <w:r w:rsidR="00C12EDD">
        <w:rPr>
          <w:rFonts w:asciiTheme="minorHAnsi" w:hAnsiTheme="minorHAnsi"/>
          <w:sz w:val="22"/>
          <w:szCs w:val="22"/>
        </w:rPr>
        <w:t>3</w:t>
      </w:r>
      <w:r w:rsidR="00C12EDD" w:rsidRPr="00470E4A">
        <w:rPr>
          <w:rFonts w:asciiTheme="minorHAnsi" w:hAnsiTheme="minorHAnsi"/>
          <w:sz w:val="22"/>
          <w:szCs w:val="22"/>
        </w:rPr>
        <w:t xml:space="preserve">.) </w:t>
      </w:r>
      <w:proofErr w:type="spellStart"/>
      <w:r w:rsidR="00C12EDD" w:rsidRPr="00470E4A">
        <w:rPr>
          <w:rFonts w:asciiTheme="minorHAnsi" w:hAnsiTheme="minorHAnsi"/>
          <w:sz w:val="22"/>
          <w:szCs w:val="22"/>
        </w:rPr>
        <w:t>jasno</w:t>
      </w:r>
      <w:proofErr w:type="spellEnd"/>
      <w:r w:rsidR="00C12EDD" w:rsidRPr="00470E4A">
        <w:rPr>
          <w:rFonts w:asciiTheme="minorHAnsi" w:hAnsiTheme="minorHAnsi"/>
          <w:sz w:val="22"/>
          <w:szCs w:val="22"/>
        </w:rPr>
        <w:t xml:space="preserve"> je da je </w:t>
      </w:r>
      <w:proofErr w:type="spellStart"/>
      <w:r w:rsidR="00C12EDD">
        <w:rPr>
          <w:rFonts w:asciiTheme="minorHAnsi" w:hAnsiTheme="minorHAnsi"/>
          <w:sz w:val="22"/>
          <w:szCs w:val="22"/>
        </w:rPr>
        <w:t>Bač</w:t>
      </w:r>
      <w:proofErr w:type="spellEnd"/>
      <w:r w:rsidR="00C12EDD">
        <w:rPr>
          <w:rFonts w:asciiTheme="minorHAnsi" w:hAnsiTheme="minorHAnsi"/>
          <w:sz w:val="22"/>
          <w:szCs w:val="22"/>
        </w:rPr>
        <w:t xml:space="preserve"> </w:t>
      </w:r>
      <w:proofErr w:type="spellStart"/>
      <w:r w:rsidR="00C12EDD">
        <w:rPr>
          <w:rFonts w:asciiTheme="minorHAnsi" w:hAnsiTheme="minorHAnsi"/>
          <w:sz w:val="22"/>
          <w:szCs w:val="22"/>
        </w:rPr>
        <w:t>još</w:t>
      </w:r>
      <w:proofErr w:type="spellEnd"/>
      <w:r w:rsidR="00C12EDD">
        <w:rPr>
          <w:rFonts w:asciiTheme="minorHAnsi" w:hAnsiTheme="minorHAnsi"/>
          <w:sz w:val="22"/>
          <w:szCs w:val="22"/>
        </w:rPr>
        <w:t xml:space="preserve"> </w:t>
      </w:r>
      <w:proofErr w:type="spellStart"/>
      <w:r w:rsidR="00C12EDD">
        <w:rPr>
          <w:rFonts w:asciiTheme="minorHAnsi" w:hAnsiTheme="minorHAnsi"/>
          <w:sz w:val="22"/>
          <w:szCs w:val="22"/>
        </w:rPr>
        <w:t>uvek</w:t>
      </w:r>
      <w:proofErr w:type="spellEnd"/>
      <w:r w:rsidR="00C12EDD" w:rsidRPr="00470E4A">
        <w:rPr>
          <w:rFonts w:asciiTheme="minorHAnsi" w:hAnsiTheme="minorHAnsi"/>
          <w:sz w:val="22"/>
          <w:szCs w:val="22"/>
        </w:rPr>
        <w:t xml:space="preserve"> </w:t>
      </w:r>
      <w:proofErr w:type="spellStart"/>
      <w:r w:rsidR="00C12EDD">
        <w:rPr>
          <w:rFonts w:asciiTheme="minorHAnsi" w:hAnsiTheme="minorHAnsi"/>
          <w:sz w:val="22"/>
          <w:szCs w:val="22"/>
        </w:rPr>
        <w:t>daleko</w:t>
      </w:r>
      <w:proofErr w:type="spellEnd"/>
      <w:r w:rsidR="00C12EDD">
        <w:rPr>
          <w:rFonts w:asciiTheme="minorHAnsi" w:hAnsiTheme="minorHAnsi"/>
          <w:sz w:val="22"/>
          <w:szCs w:val="22"/>
        </w:rPr>
        <w:t xml:space="preserve"> </w:t>
      </w:r>
      <w:proofErr w:type="spellStart"/>
      <w:r w:rsidR="00C12EDD">
        <w:rPr>
          <w:rFonts w:asciiTheme="minorHAnsi" w:hAnsiTheme="minorHAnsi"/>
          <w:sz w:val="22"/>
          <w:szCs w:val="22"/>
        </w:rPr>
        <w:t>od</w:t>
      </w:r>
      <w:proofErr w:type="spellEnd"/>
      <w:r w:rsidR="00C12EDD">
        <w:rPr>
          <w:rFonts w:asciiTheme="minorHAnsi" w:hAnsiTheme="minorHAnsi"/>
          <w:sz w:val="22"/>
          <w:szCs w:val="22"/>
        </w:rPr>
        <w:t xml:space="preserve"> </w:t>
      </w:r>
      <w:proofErr w:type="spellStart"/>
      <w:r w:rsidR="00C12EDD">
        <w:rPr>
          <w:rFonts w:asciiTheme="minorHAnsi" w:hAnsiTheme="minorHAnsi"/>
          <w:sz w:val="22"/>
          <w:szCs w:val="22"/>
        </w:rPr>
        <w:t>ovih</w:t>
      </w:r>
      <w:proofErr w:type="spellEnd"/>
      <w:r w:rsidR="00C12EDD">
        <w:rPr>
          <w:rFonts w:asciiTheme="minorHAnsi" w:hAnsiTheme="minorHAnsi"/>
          <w:sz w:val="22"/>
          <w:szCs w:val="22"/>
        </w:rPr>
        <w:t xml:space="preserve"> </w:t>
      </w:r>
      <w:proofErr w:type="spellStart"/>
      <w:r w:rsidR="00C12EDD" w:rsidRPr="00470E4A">
        <w:rPr>
          <w:rFonts w:asciiTheme="minorHAnsi" w:hAnsiTheme="minorHAnsi"/>
          <w:sz w:val="22"/>
          <w:szCs w:val="22"/>
        </w:rPr>
        <w:t>ciljeva</w:t>
      </w:r>
      <w:proofErr w:type="spellEnd"/>
      <w:r w:rsidR="00C12EDD" w:rsidRPr="00470E4A">
        <w:rPr>
          <w:rFonts w:asciiTheme="minorHAnsi" w:hAnsiTheme="minorHAnsi"/>
          <w:sz w:val="22"/>
          <w:szCs w:val="22"/>
        </w:rPr>
        <w:t>.</w:t>
      </w:r>
      <w:r w:rsidR="00C12EDD">
        <w:rPr>
          <w:rFonts w:asciiTheme="minorHAnsi" w:hAnsiTheme="minorHAnsi"/>
          <w:sz w:val="22"/>
          <w:szCs w:val="22"/>
        </w:rPr>
        <w:t xml:space="preserve"> </w:t>
      </w:r>
    </w:p>
    <w:p w14:paraId="4391B1DF" w14:textId="31DD8EBC" w:rsidR="00885623" w:rsidRPr="00061868" w:rsidRDefault="00885623" w:rsidP="00885623">
      <w:pPr>
        <w:jc w:val="both"/>
        <w:rPr>
          <w:rFonts w:asciiTheme="minorHAnsi" w:hAnsiTheme="minorHAnsi"/>
          <w:sz w:val="22"/>
          <w:szCs w:val="22"/>
        </w:rPr>
      </w:pPr>
    </w:p>
    <w:p w14:paraId="568732A2" w14:textId="3E0AA81F" w:rsidR="00061868" w:rsidRPr="00061868" w:rsidRDefault="00061868" w:rsidP="00061868">
      <w:pPr>
        <w:jc w:val="both"/>
        <w:rPr>
          <w:rFonts w:asciiTheme="minorHAnsi" w:hAnsiTheme="minorHAnsi"/>
          <w:sz w:val="22"/>
          <w:szCs w:val="22"/>
        </w:rPr>
      </w:pPr>
      <w:proofErr w:type="spellStart"/>
      <w:r w:rsidRPr="00061868">
        <w:rPr>
          <w:rFonts w:asciiTheme="minorHAnsi" w:hAnsiTheme="minorHAnsi"/>
          <w:sz w:val="22"/>
          <w:szCs w:val="22"/>
        </w:rPr>
        <w:t>Kapaciteti</w:t>
      </w:r>
      <w:proofErr w:type="spellEnd"/>
      <w:r w:rsidRPr="00061868">
        <w:rPr>
          <w:rFonts w:asciiTheme="minorHAnsi" w:hAnsiTheme="minorHAnsi"/>
          <w:sz w:val="22"/>
          <w:szCs w:val="22"/>
        </w:rPr>
        <w:t xml:space="preserve"> PVO je </w:t>
      </w:r>
      <w:proofErr w:type="spellStart"/>
      <w:r w:rsidRPr="00061868">
        <w:rPr>
          <w:rFonts w:asciiTheme="minorHAnsi" w:hAnsiTheme="minorHAnsi"/>
          <w:sz w:val="22"/>
          <w:szCs w:val="22"/>
        </w:rPr>
        <w:t>zadovoljavajuć</w:t>
      </w:r>
      <w:proofErr w:type="spellEnd"/>
      <w:r w:rsidRPr="00061868">
        <w:rPr>
          <w:rFonts w:asciiTheme="minorHAnsi" w:hAnsiTheme="minorHAnsi"/>
          <w:sz w:val="22"/>
          <w:szCs w:val="22"/>
        </w:rPr>
        <w:t xml:space="preserve"> u </w:t>
      </w:r>
      <w:proofErr w:type="spellStart"/>
      <w:r w:rsidRPr="00061868">
        <w:rPr>
          <w:rFonts w:asciiTheme="minorHAnsi" w:hAnsiTheme="minorHAnsi"/>
          <w:sz w:val="22"/>
          <w:szCs w:val="22"/>
        </w:rPr>
        <w:t>odnosu</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na</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iskazanu</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tražnju</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Posebno</w:t>
      </w:r>
      <w:proofErr w:type="spellEnd"/>
      <w:r w:rsidRPr="00061868">
        <w:rPr>
          <w:rFonts w:asciiTheme="minorHAnsi" w:hAnsiTheme="minorHAnsi"/>
          <w:sz w:val="22"/>
          <w:szCs w:val="22"/>
        </w:rPr>
        <w:t xml:space="preserve"> je </w:t>
      </w:r>
      <w:proofErr w:type="spellStart"/>
      <w:r w:rsidRPr="00061868">
        <w:rPr>
          <w:rFonts w:asciiTheme="minorHAnsi" w:hAnsiTheme="minorHAnsi"/>
          <w:sz w:val="22"/>
          <w:szCs w:val="22"/>
        </w:rPr>
        <w:t>povhalno</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što</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kapaciteti</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postoje</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i</w:t>
      </w:r>
      <w:proofErr w:type="spellEnd"/>
      <w:r w:rsidRPr="00061868">
        <w:rPr>
          <w:rFonts w:asciiTheme="minorHAnsi" w:hAnsiTheme="minorHAnsi"/>
          <w:sz w:val="22"/>
          <w:szCs w:val="22"/>
        </w:rPr>
        <w:t xml:space="preserve"> u </w:t>
      </w:r>
      <w:proofErr w:type="spellStart"/>
      <w:r w:rsidRPr="00061868">
        <w:rPr>
          <w:rFonts w:asciiTheme="minorHAnsi" w:hAnsiTheme="minorHAnsi"/>
          <w:sz w:val="22"/>
          <w:szCs w:val="22"/>
        </w:rPr>
        <w:t>vangradskim</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naseljima</w:t>
      </w:r>
      <w:proofErr w:type="spellEnd"/>
      <w:r w:rsidRPr="00061868">
        <w:rPr>
          <w:rFonts w:asciiTheme="minorHAnsi" w:hAnsiTheme="minorHAnsi"/>
          <w:sz w:val="22"/>
          <w:szCs w:val="22"/>
        </w:rPr>
        <w:t xml:space="preserve"> u </w:t>
      </w:r>
      <w:proofErr w:type="spellStart"/>
      <w:r w:rsidRPr="00061868">
        <w:rPr>
          <w:rFonts w:asciiTheme="minorHAnsi" w:hAnsiTheme="minorHAnsi"/>
          <w:sz w:val="22"/>
          <w:szCs w:val="22"/>
        </w:rPr>
        <w:t>skoro</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istoj</w:t>
      </w:r>
      <w:proofErr w:type="spellEnd"/>
      <w:r w:rsidRPr="00061868">
        <w:rPr>
          <w:rFonts w:asciiTheme="minorHAnsi" w:hAnsiTheme="minorHAnsi"/>
          <w:sz w:val="22"/>
          <w:szCs w:val="22"/>
        </w:rPr>
        <w:t xml:space="preserve"> meri </w:t>
      </w:r>
      <w:proofErr w:type="spellStart"/>
      <w:r w:rsidRPr="00061868">
        <w:rPr>
          <w:rFonts w:asciiTheme="minorHAnsi" w:hAnsiTheme="minorHAnsi"/>
          <w:sz w:val="22"/>
          <w:szCs w:val="22"/>
        </w:rPr>
        <w:t>koliko</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i</w:t>
      </w:r>
      <w:proofErr w:type="spellEnd"/>
      <w:r w:rsidRPr="00061868">
        <w:rPr>
          <w:rFonts w:asciiTheme="minorHAnsi" w:hAnsiTheme="minorHAnsi"/>
          <w:sz w:val="22"/>
          <w:szCs w:val="22"/>
        </w:rPr>
        <w:t xml:space="preserve"> u </w:t>
      </w:r>
      <w:proofErr w:type="spellStart"/>
      <w:r w:rsidRPr="00061868">
        <w:rPr>
          <w:rFonts w:asciiTheme="minorHAnsi" w:hAnsiTheme="minorHAnsi"/>
          <w:sz w:val="22"/>
          <w:szCs w:val="22"/>
        </w:rPr>
        <w:t>gradskim</w:t>
      </w:r>
      <w:proofErr w:type="spellEnd"/>
      <w:r w:rsidRPr="00061868">
        <w:rPr>
          <w:rFonts w:asciiTheme="minorHAnsi" w:hAnsiTheme="minorHAnsi"/>
          <w:sz w:val="22"/>
          <w:szCs w:val="22"/>
        </w:rPr>
        <w:t xml:space="preserve">.  U </w:t>
      </w:r>
      <w:proofErr w:type="spellStart"/>
      <w:r w:rsidRPr="00061868">
        <w:rPr>
          <w:rFonts w:asciiTheme="minorHAnsi" w:hAnsiTheme="minorHAnsi"/>
          <w:sz w:val="22"/>
          <w:szCs w:val="22"/>
        </w:rPr>
        <w:t>ponudi</w:t>
      </w:r>
      <w:proofErr w:type="spellEnd"/>
      <w:r w:rsidRPr="00061868">
        <w:rPr>
          <w:rFonts w:asciiTheme="minorHAnsi" w:hAnsiTheme="minorHAnsi"/>
          <w:sz w:val="22"/>
          <w:szCs w:val="22"/>
        </w:rPr>
        <w:t xml:space="preserve"> PVO </w:t>
      </w:r>
      <w:proofErr w:type="spellStart"/>
      <w:r w:rsidRPr="00061868">
        <w:rPr>
          <w:rFonts w:asciiTheme="minorHAnsi" w:hAnsiTheme="minorHAnsi"/>
          <w:sz w:val="22"/>
          <w:szCs w:val="22"/>
        </w:rPr>
        <w:t>dominira</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klasičan</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celodnevni</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programa</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ali</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postoji</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ponuda</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kreć</w:t>
      </w:r>
      <w:r w:rsidR="00E30655">
        <w:rPr>
          <w:rFonts w:asciiTheme="minorHAnsi" w:hAnsiTheme="minorHAnsi"/>
          <w:sz w:val="22"/>
          <w:szCs w:val="22"/>
        </w:rPr>
        <w:t>e</w:t>
      </w:r>
      <w:r w:rsidRPr="00061868">
        <w:rPr>
          <w:rFonts w:asciiTheme="minorHAnsi" w:hAnsiTheme="minorHAnsi"/>
          <w:sz w:val="22"/>
          <w:szCs w:val="22"/>
        </w:rPr>
        <w:t>g</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programa</w:t>
      </w:r>
      <w:proofErr w:type="spellEnd"/>
      <w:r w:rsidRPr="00061868">
        <w:rPr>
          <w:rFonts w:asciiTheme="minorHAnsi" w:hAnsiTheme="minorHAnsi"/>
          <w:sz w:val="22"/>
          <w:szCs w:val="22"/>
        </w:rPr>
        <w:t xml:space="preserve">  ne </w:t>
      </w:r>
      <w:proofErr w:type="spellStart"/>
      <w:r w:rsidRPr="00061868">
        <w:rPr>
          <w:rFonts w:asciiTheme="minorHAnsi" w:hAnsiTheme="minorHAnsi"/>
          <w:sz w:val="22"/>
          <w:szCs w:val="22"/>
        </w:rPr>
        <w:t>samo</w:t>
      </w:r>
      <w:proofErr w:type="spellEnd"/>
      <w:r w:rsidRPr="00061868">
        <w:rPr>
          <w:rFonts w:asciiTheme="minorHAnsi" w:hAnsiTheme="minorHAnsi"/>
          <w:sz w:val="22"/>
          <w:szCs w:val="22"/>
        </w:rPr>
        <w:t xml:space="preserve"> u </w:t>
      </w:r>
      <w:proofErr w:type="spellStart"/>
      <w:r w:rsidRPr="00061868">
        <w:rPr>
          <w:rFonts w:asciiTheme="minorHAnsi" w:hAnsiTheme="minorHAnsi"/>
          <w:sz w:val="22"/>
          <w:szCs w:val="22"/>
        </w:rPr>
        <w:t>slučaju</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obaveznog</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poludnevnog</w:t>
      </w:r>
      <w:proofErr w:type="spellEnd"/>
      <w:r w:rsidRPr="00061868">
        <w:rPr>
          <w:rFonts w:asciiTheme="minorHAnsi" w:hAnsiTheme="minorHAnsi"/>
          <w:sz w:val="22"/>
          <w:szCs w:val="22"/>
        </w:rPr>
        <w:t xml:space="preserve"> PPP</w:t>
      </w:r>
      <w:r w:rsidR="00E30655">
        <w:rPr>
          <w:rFonts w:asciiTheme="minorHAnsi" w:hAnsiTheme="minorHAnsi"/>
          <w:sz w:val="22"/>
          <w:szCs w:val="22"/>
        </w:rPr>
        <w:t xml:space="preserve">-a </w:t>
      </w:r>
      <w:proofErr w:type="spellStart"/>
      <w:r w:rsidRPr="00061868">
        <w:rPr>
          <w:rFonts w:asciiTheme="minorHAnsi" w:hAnsiTheme="minorHAnsi"/>
          <w:sz w:val="22"/>
          <w:szCs w:val="22"/>
        </w:rPr>
        <w:t>već</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i</w:t>
      </w:r>
      <w:proofErr w:type="spellEnd"/>
      <w:r w:rsidRPr="00061868">
        <w:rPr>
          <w:rFonts w:asciiTheme="minorHAnsi" w:hAnsiTheme="minorHAnsi"/>
          <w:sz w:val="22"/>
          <w:szCs w:val="22"/>
        </w:rPr>
        <w:t xml:space="preserve"> za </w:t>
      </w:r>
      <w:proofErr w:type="spellStart"/>
      <w:r w:rsidRPr="00061868">
        <w:rPr>
          <w:rFonts w:asciiTheme="minorHAnsi" w:hAnsiTheme="minorHAnsi"/>
          <w:sz w:val="22"/>
          <w:szCs w:val="22"/>
        </w:rPr>
        <w:t>ostalu</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decu</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Iako</w:t>
      </w:r>
      <w:proofErr w:type="spellEnd"/>
      <w:r w:rsidRPr="00061868">
        <w:rPr>
          <w:rFonts w:asciiTheme="minorHAnsi" w:hAnsiTheme="minorHAnsi"/>
          <w:sz w:val="22"/>
          <w:szCs w:val="22"/>
        </w:rPr>
        <w:t xml:space="preserve"> se </w:t>
      </w:r>
      <w:proofErr w:type="spellStart"/>
      <w:r w:rsidRPr="00061868">
        <w:rPr>
          <w:rFonts w:asciiTheme="minorHAnsi" w:hAnsiTheme="minorHAnsi"/>
          <w:sz w:val="22"/>
          <w:szCs w:val="22"/>
        </w:rPr>
        <w:t>učešće</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dece</w:t>
      </w:r>
      <w:proofErr w:type="spellEnd"/>
      <w:r w:rsidRPr="00061868">
        <w:rPr>
          <w:rFonts w:asciiTheme="minorHAnsi" w:hAnsiTheme="minorHAnsi"/>
          <w:sz w:val="22"/>
          <w:szCs w:val="22"/>
        </w:rPr>
        <w:t xml:space="preserve"> u </w:t>
      </w:r>
      <w:proofErr w:type="spellStart"/>
      <w:r w:rsidRPr="00061868">
        <w:rPr>
          <w:rFonts w:asciiTheme="minorHAnsi" w:hAnsiTheme="minorHAnsi"/>
          <w:sz w:val="22"/>
          <w:szCs w:val="22"/>
        </w:rPr>
        <w:t>ovom</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kraćem</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programu</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smanjuje</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jako</w:t>
      </w:r>
      <w:proofErr w:type="spellEnd"/>
      <w:r w:rsidRPr="00061868">
        <w:rPr>
          <w:rFonts w:asciiTheme="minorHAnsi" w:hAnsiTheme="minorHAnsi"/>
          <w:sz w:val="22"/>
          <w:szCs w:val="22"/>
        </w:rPr>
        <w:t xml:space="preserve"> je dobro da </w:t>
      </w:r>
      <w:proofErr w:type="spellStart"/>
      <w:r w:rsidRPr="00061868">
        <w:rPr>
          <w:rFonts w:asciiTheme="minorHAnsi" w:hAnsiTheme="minorHAnsi"/>
          <w:sz w:val="22"/>
          <w:szCs w:val="22"/>
        </w:rPr>
        <w:t>takva</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ponuda</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uopste</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i</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postoji</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Učešće</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roditelja</w:t>
      </w:r>
      <w:proofErr w:type="spellEnd"/>
      <w:r w:rsidRPr="00061868">
        <w:rPr>
          <w:rFonts w:asciiTheme="minorHAnsi" w:hAnsiTheme="minorHAnsi"/>
          <w:sz w:val="22"/>
          <w:szCs w:val="22"/>
        </w:rPr>
        <w:t xml:space="preserve"> koji </w:t>
      </w:r>
      <w:proofErr w:type="spellStart"/>
      <w:r w:rsidRPr="00061868">
        <w:rPr>
          <w:rFonts w:asciiTheme="minorHAnsi" w:hAnsiTheme="minorHAnsi"/>
          <w:sz w:val="22"/>
          <w:szCs w:val="22"/>
        </w:rPr>
        <w:t>plaća</w:t>
      </w:r>
      <w:proofErr w:type="spellEnd"/>
      <w:r w:rsidRPr="00061868">
        <w:rPr>
          <w:rFonts w:asciiTheme="minorHAnsi" w:hAnsiTheme="minorHAnsi"/>
          <w:sz w:val="22"/>
          <w:szCs w:val="22"/>
        </w:rPr>
        <w:t xml:space="preserve"> pun </w:t>
      </w:r>
      <w:proofErr w:type="spellStart"/>
      <w:r w:rsidRPr="00061868">
        <w:rPr>
          <w:rFonts w:asciiTheme="minorHAnsi" w:hAnsiTheme="minorHAnsi"/>
          <w:sz w:val="22"/>
          <w:szCs w:val="22"/>
        </w:rPr>
        <w:t>iznos</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participacije</w:t>
      </w:r>
      <w:proofErr w:type="spellEnd"/>
      <w:r w:rsidRPr="00061868">
        <w:rPr>
          <w:rFonts w:asciiTheme="minorHAnsi" w:hAnsiTheme="minorHAnsi"/>
          <w:sz w:val="22"/>
          <w:szCs w:val="22"/>
        </w:rPr>
        <w:t xml:space="preserve"> u </w:t>
      </w:r>
      <w:proofErr w:type="spellStart"/>
      <w:r w:rsidRPr="00061868">
        <w:rPr>
          <w:rFonts w:asciiTheme="minorHAnsi" w:hAnsiTheme="minorHAnsi"/>
          <w:sz w:val="22"/>
          <w:szCs w:val="22"/>
        </w:rPr>
        <w:t>ceni</w:t>
      </w:r>
      <w:proofErr w:type="spellEnd"/>
      <w:r w:rsidRPr="00061868">
        <w:rPr>
          <w:rFonts w:asciiTheme="minorHAnsi" w:hAnsiTheme="minorHAnsi"/>
          <w:sz w:val="22"/>
          <w:szCs w:val="22"/>
        </w:rPr>
        <w:t xml:space="preserve"> PVO se </w:t>
      </w:r>
      <w:proofErr w:type="spellStart"/>
      <w:r w:rsidRPr="00061868">
        <w:rPr>
          <w:rFonts w:asciiTheme="minorHAnsi" w:hAnsiTheme="minorHAnsi"/>
          <w:sz w:val="22"/>
          <w:szCs w:val="22"/>
        </w:rPr>
        <w:t>značajno</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povećao</w:t>
      </w:r>
      <w:proofErr w:type="spellEnd"/>
      <w:r w:rsidRPr="00061868">
        <w:rPr>
          <w:rFonts w:asciiTheme="minorHAnsi" w:hAnsiTheme="minorHAnsi"/>
          <w:sz w:val="22"/>
          <w:szCs w:val="22"/>
        </w:rPr>
        <w:t xml:space="preserve">. Ovo ne </w:t>
      </w:r>
      <w:proofErr w:type="spellStart"/>
      <w:r w:rsidRPr="00061868">
        <w:rPr>
          <w:rFonts w:asciiTheme="minorHAnsi" w:hAnsiTheme="minorHAnsi"/>
          <w:sz w:val="22"/>
          <w:szCs w:val="22"/>
        </w:rPr>
        <w:t>treba</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tumačiti</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kao</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negativan</w:t>
      </w:r>
      <w:proofErr w:type="spellEnd"/>
      <w:r w:rsidRPr="00061868">
        <w:rPr>
          <w:rFonts w:asciiTheme="minorHAnsi" w:hAnsiTheme="minorHAnsi"/>
          <w:sz w:val="22"/>
          <w:szCs w:val="22"/>
        </w:rPr>
        <w:t xml:space="preserve"> trend </w:t>
      </w:r>
      <w:proofErr w:type="spellStart"/>
      <w:r w:rsidRPr="00061868">
        <w:rPr>
          <w:rFonts w:asciiTheme="minorHAnsi" w:hAnsiTheme="minorHAnsi"/>
          <w:sz w:val="22"/>
          <w:szCs w:val="22"/>
        </w:rPr>
        <w:t>jer</w:t>
      </w:r>
      <w:proofErr w:type="spellEnd"/>
      <w:r w:rsidRPr="00061868">
        <w:rPr>
          <w:rFonts w:asciiTheme="minorHAnsi" w:hAnsiTheme="minorHAnsi"/>
          <w:sz w:val="22"/>
          <w:szCs w:val="22"/>
        </w:rPr>
        <w:t xml:space="preserve"> u </w:t>
      </w:r>
      <w:proofErr w:type="spellStart"/>
      <w:r w:rsidRPr="00061868">
        <w:rPr>
          <w:rFonts w:asciiTheme="minorHAnsi" w:hAnsiTheme="minorHAnsi"/>
          <w:sz w:val="22"/>
          <w:szCs w:val="22"/>
        </w:rPr>
        <w:t>slučaju</w:t>
      </w:r>
      <w:proofErr w:type="spellEnd"/>
      <w:r w:rsidRPr="00061868">
        <w:rPr>
          <w:rFonts w:asciiTheme="minorHAnsi" w:hAnsiTheme="minorHAnsi"/>
          <w:sz w:val="22"/>
          <w:szCs w:val="22"/>
        </w:rPr>
        <w:t xml:space="preserve"> da </w:t>
      </w:r>
      <w:proofErr w:type="spellStart"/>
      <w:r w:rsidRPr="00061868">
        <w:rPr>
          <w:rFonts w:asciiTheme="minorHAnsi" w:hAnsiTheme="minorHAnsi"/>
          <w:sz w:val="22"/>
          <w:szCs w:val="22"/>
        </w:rPr>
        <w:t>su</w:t>
      </w:r>
      <w:proofErr w:type="spellEnd"/>
      <w:r w:rsidRPr="00061868">
        <w:rPr>
          <w:rFonts w:asciiTheme="minorHAnsi" w:hAnsiTheme="minorHAnsi"/>
          <w:sz w:val="22"/>
          <w:szCs w:val="22"/>
        </w:rPr>
        <w:t xml:space="preserve"> dobro </w:t>
      </w:r>
      <w:proofErr w:type="spellStart"/>
      <w:r w:rsidRPr="00061868">
        <w:rPr>
          <w:rFonts w:asciiTheme="minorHAnsi" w:hAnsiTheme="minorHAnsi"/>
          <w:sz w:val="22"/>
          <w:szCs w:val="22"/>
        </w:rPr>
        <w:t>postavljeni</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kriterijumi</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može</w:t>
      </w:r>
      <w:proofErr w:type="spellEnd"/>
      <w:r w:rsidRPr="00061868">
        <w:rPr>
          <w:rFonts w:asciiTheme="minorHAnsi" w:hAnsiTheme="minorHAnsi"/>
          <w:sz w:val="22"/>
          <w:szCs w:val="22"/>
        </w:rPr>
        <w:t xml:space="preserve"> da </w:t>
      </w:r>
      <w:proofErr w:type="spellStart"/>
      <w:r w:rsidRPr="00061868">
        <w:rPr>
          <w:rFonts w:asciiTheme="minorHAnsi" w:hAnsiTheme="minorHAnsi"/>
          <w:sz w:val="22"/>
          <w:szCs w:val="22"/>
        </w:rPr>
        <w:t>uomogući</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opštini</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povećanje</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obuhvata</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dece</w:t>
      </w:r>
      <w:proofErr w:type="spellEnd"/>
      <w:r w:rsidRPr="00061868">
        <w:rPr>
          <w:rFonts w:asciiTheme="minorHAnsi" w:hAnsiTheme="minorHAnsi"/>
          <w:sz w:val="22"/>
          <w:szCs w:val="22"/>
        </w:rPr>
        <w:t>.</w:t>
      </w:r>
    </w:p>
    <w:p w14:paraId="1BAE642B" w14:textId="77777777" w:rsidR="00061868" w:rsidRPr="00061868" w:rsidRDefault="00061868" w:rsidP="00061868">
      <w:pPr>
        <w:jc w:val="both"/>
        <w:rPr>
          <w:rFonts w:asciiTheme="minorHAnsi" w:hAnsiTheme="minorHAnsi"/>
          <w:sz w:val="22"/>
          <w:szCs w:val="22"/>
        </w:rPr>
      </w:pPr>
    </w:p>
    <w:p w14:paraId="0C458E01" w14:textId="732ABEF4" w:rsidR="00061868" w:rsidRPr="00061868" w:rsidRDefault="00061868" w:rsidP="00061868">
      <w:pPr>
        <w:jc w:val="both"/>
        <w:rPr>
          <w:rFonts w:asciiTheme="minorHAnsi" w:hAnsiTheme="minorHAnsi"/>
          <w:sz w:val="22"/>
          <w:szCs w:val="22"/>
        </w:rPr>
      </w:pPr>
      <w:r w:rsidRPr="00061868">
        <w:rPr>
          <w:rFonts w:asciiTheme="minorHAnsi" w:hAnsiTheme="minorHAnsi"/>
          <w:sz w:val="22"/>
          <w:szCs w:val="22"/>
        </w:rPr>
        <w:t xml:space="preserve">Neto </w:t>
      </w:r>
      <w:proofErr w:type="spellStart"/>
      <w:r w:rsidRPr="00061868">
        <w:rPr>
          <w:rFonts w:asciiTheme="minorHAnsi" w:hAnsiTheme="minorHAnsi"/>
          <w:sz w:val="22"/>
          <w:szCs w:val="22"/>
        </w:rPr>
        <w:t>stopa</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obuhvata</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osnovnim</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obrazovanjem</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varira</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ali</w:t>
      </w:r>
      <w:proofErr w:type="spellEnd"/>
      <w:r w:rsidRPr="00061868">
        <w:rPr>
          <w:rFonts w:asciiTheme="minorHAnsi" w:hAnsiTheme="minorHAnsi"/>
          <w:sz w:val="22"/>
          <w:szCs w:val="22"/>
        </w:rPr>
        <w:t xml:space="preserve"> se </w:t>
      </w:r>
      <w:proofErr w:type="spellStart"/>
      <w:r w:rsidRPr="00061868">
        <w:rPr>
          <w:rFonts w:asciiTheme="minorHAnsi" w:hAnsiTheme="minorHAnsi"/>
          <w:sz w:val="22"/>
          <w:szCs w:val="22"/>
        </w:rPr>
        <w:t>može</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reći</w:t>
      </w:r>
      <w:proofErr w:type="spellEnd"/>
      <w:r w:rsidRPr="00061868">
        <w:rPr>
          <w:rFonts w:asciiTheme="minorHAnsi" w:hAnsiTheme="minorHAnsi"/>
          <w:sz w:val="22"/>
          <w:szCs w:val="22"/>
        </w:rPr>
        <w:t xml:space="preserve"> da je </w:t>
      </w:r>
      <w:proofErr w:type="spellStart"/>
      <w:r w:rsidRPr="00061868">
        <w:rPr>
          <w:rFonts w:asciiTheme="minorHAnsi" w:hAnsiTheme="minorHAnsi"/>
          <w:sz w:val="22"/>
          <w:szCs w:val="22"/>
        </w:rPr>
        <w:t>na</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nivou</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proseka</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Srbije</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Stopa</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odustajanja</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od</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školovanja</w:t>
      </w:r>
      <w:proofErr w:type="spellEnd"/>
      <w:r w:rsidRPr="00061868">
        <w:rPr>
          <w:rFonts w:asciiTheme="minorHAnsi" w:hAnsiTheme="minorHAnsi"/>
          <w:sz w:val="22"/>
          <w:szCs w:val="22"/>
        </w:rPr>
        <w:t xml:space="preserve"> u </w:t>
      </w:r>
      <w:proofErr w:type="spellStart"/>
      <w:r w:rsidRPr="00061868">
        <w:rPr>
          <w:rFonts w:asciiTheme="minorHAnsi" w:hAnsiTheme="minorHAnsi"/>
          <w:sz w:val="22"/>
          <w:szCs w:val="22"/>
        </w:rPr>
        <w:t>osnovnom</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obrazovanju</w:t>
      </w:r>
      <w:proofErr w:type="spellEnd"/>
      <w:r w:rsidRPr="00061868">
        <w:rPr>
          <w:rFonts w:asciiTheme="minorHAnsi" w:hAnsiTheme="minorHAnsi"/>
          <w:sz w:val="22"/>
          <w:szCs w:val="22"/>
        </w:rPr>
        <w:t xml:space="preserve"> je </w:t>
      </w:r>
      <w:proofErr w:type="spellStart"/>
      <w:r w:rsidRPr="00061868">
        <w:rPr>
          <w:rFonts w:asciiTheme="minorHAnsi" w:hAnsiTheme="minorHAnsi"/>
          <w:sz w:val="22"/>
          <w:szCs w:val="22"/>
        </w:rPr>
        <w:t>niska</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izuzev</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izrazito</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visokih</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vrednosti</w:t>
      </w:r>
      <w:proofErr w:type="spellEnd"/>
      <w:r w:rsidRPr="00061868">
        <w:rPr>
          <w:rFonts w:asciiTheme="minorHAnsi" w:hAnsiTheme="minorHAnsi"/>
          <w:sz w:val="22"/>
          <w:szCs w:val="22"/>
        </w:rPr>
        <w:t xml:space="preserve"> u </w:t>
      </w:r>
      <w:proofErr w:type="spellStart"/>
      <w:r w:rsidRPr="00061868">
        <w:rPr>
          <w:rFonts w:asciiTheme="minorHAnsi" w:hAnsiTheme="minorHAnsi"/>
          <w:sz w:val="22"/>
          <w:szCs w:val="22"/>
        </w:rPr>
        <w:t>pojedinim</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godinama</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kao</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što</w:t>
      </w:r>
      <w:proofErr w:type="spellEnd"/>
      <w:r w:rsidRPr="00061868">
        <w:rPr>
          <w:rFonts w:asciiTheme="minorHAnsi" w:hAnsiTheme="minorHAnsi"/>
          <w:sz w:val="22"/>
          <w:szCs w:val="22"/>
        </w:rPr>
        <w:t xml:space="preserve"> je 2011. </w:t>
      </w:r>
      <w:proofErr w:type="spellStart"/>
      <w:r w:rsidRPr="00061868">
        <w:rPr>
          <w:rFonts w:asciiTheme="minorHAnsi" w:hAnsiTheme="minorHAnsi"/>
          <w:sz w:val="22"/>
          <w:szCs w:val="22"/>
        </w:rPr>
        <w:t>i</w:t>
      </w:r>
      <w:proofErr w:type="spellEnd"/>
      <w:r w:rsidRPr="00061868">
        <w:rPr>
          <w:rFonts w:asciiTheme="minorHAnsi" w:hAnsiTheme="minorHAnsi"/>
          <w:sz w:val="22"/>
          <w:szCs w:val="22"/>
        </w:rPr>
        <w:t xml:space="preserve"> 2018. </w:t>
      </w:r>
      <w:proofErr w:type="spellStart"/>
      <w:r w:rsidR="00E30655">
        <w:rPr>
          <w:rFonts w:asciiTheme="minorHAnsi" w:hAnsiTheme="minorHAnsi"/>
          <w:sz w:val="22"/>
          <w:szCs w:val="22"/>
        </w:rPr>
        <w:t>g</w:t>
      </w:r>
      <w:r w:rsidRPr="00061868">
        <w:rPr>
          <w:rFonts w:asciiTheme="minorHAnsi" w:hAnsiTheme="minorHAnsi"/>
          <w:sz w:val="22"/>
          <w:szCs w:val="22"/>
        </w:rPr>
        <w:t>odina</w:t>
      </w:r>
      <w:proofErr w:type="spellEnd"/>
      <w:r w:rsidRPr="00061868">
        <w:rPr>
          <w:rFonts w:asciiTheme="minorHAnsi" w:hAnsiTheme="minorHAnsi"/>
          <w:sz w:val="22"/>
          <w:szCs w:val="22"/>
        </w:rPr>
        <w:t xml:space="preserve">. I </w:t>
      </w:r>
      <w:proofErr w:type="spellStart"/>
      <w:r w:rsidRPr="00061868">
        <w:rPr>
          <w:rFonts w:asciiTheme="minorHAnsi" w:hAnsiTheme="minorHAnsi"/>
          <w:sz w:val="22"/>
          <w:szCs w:val="22"/>
        </w:rPr>
        <w:t>pored</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ovih</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povoljniih</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indikatora</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stopa</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završavanja</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osnovne</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škole</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veoma</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varira</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ali</w:t>
      </w:r>
      <w:proofErr w:type="spellEnd"/>
      <w:r w:rsidRPr="00061868">
        <w:rPr>
          <w:rFonts w:asciiTheme="minorHAnsi" w:hAnsiTheme="minorHAnsi"/>
          <w:sz w:val="22"/>
          <w:szCs w:val="22"/>
        </w:rPr>
        <w:t xml:space="preserve"> je u </w:t>
      </w:r>
      <w:proofErr w:type="spellStart"/>
      <w:r w:rsidRPr="00061868">
        <w:rPr>
          <w:rFonts w:asciiTheme="minorHAnsi" w:hAnsiTheme="minorHAnsi"/>
          <w:sz w:val="22"/>
          <w:szCs w:val="22"/>
        </w:rPr>
        <w:t>proseku</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dosta</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niska</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što</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možda</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može</w:t>
      </w:r>
      <w:proofErr w:type="spellEnd"/>
      <w:r w:rsidRPr="00061868">
        <w:rPr>
          <w:rFonts w:asciiTheme="minorHAnsi" w:hAnsiTheme="minorHAnsi"/>
          <w:sz w:val="22"/>
          <w:szCs w:val="22"/>
        </w:rPr>
        <w:t xml:space="preserve"> da </w:t>
      </w:r>
      <w:proofErr w:type="spellStart"/>
      <w:r w:rsidRPr="00061868">
        <w:rPr>
          <w:rFonts w:asciiTheme="minorHAnsi" w:hAnsiTheme="minorHAnsi"/>
          <w:sz w:val="22"/>
          <w:szCs w:val="22"/>
        </w:rPr>
        <w:t>ukaže</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na</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učestala</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ponavljanja</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poslednjeg</w:t>
      </w:r>
      <w:proofErr w:type="spellEnd"/>
      <w:r w:rsidRPr="00061868">
        <w:rPr>
          <w:rFonts w:asciiTheme="minorHAnsi" w:hAnsiTheme="minorHAnsi"/>
          <w:sz w:val="22"/>
          <w:szCs w:val="22"/>
        </w:rPr>
        <w:t xml:space="preserve"> </w:t>
      </w:r>
      <w:proofErr w:type="spellStart"/>
      <w:r w:rsidRPr="00061868">
        <w:rPr>
          <w:rFonts w:asciiTheme="minorHAnsi" w:hAnsiTheme="minorHAnsi"/>
          <w:sz w:val="22"/>
          <w:szCs w:val="22"/>
        </w:rPr>
        <w:t>razreda</w:t>
      </w:r>
      <w:proofErr w:type="spellEnd"/>
      <w:r w:rsidRPr="00061868">
        <w:rPr>
          <w:rFonts w:asciiTheme="minorHAnsi" w:hAnsiTheme="minorHAnsi"/>
          <w:sz w:val="22"/>
          <w:szCs w:val="22"/>
        </w:rPr>
        <w:t xml:space="preserve">. </w:t>
      </w:r>
    </w:p>
    <w:p w14:paraId="72BA48FC" w14:textId="77777777" w:rsidR="00061868" w:rsidRPr="00061868" w:rsidRDefault="00061868" w:rsidP="00A21756">
      <w:pPr>
        <w:jc w:val="both"/>
        <w:rPr>
          <w:rFonts w:asciiTheme="minorHAnsi" w:hAnsiTheme="minorHAnsi"/>
          <w:sz w:val="22"/>
          <w:szCs w:val="22"/>
        </w:rPr>
      </w:pPr>
    </w:p>
    <w:p w14:paraId="1BB9856F" w14:textId="3740C393" w:rsidR="00A21756" w:rsidRDefault="00A21756" w:rsidP="00885623">
      <w:pPr>
        <w:jc w:val="both"/>
        <w:rPr>
          <w:rFonts w:asciiTheme="minorHAnsi" w:hAnsiTheme="minorHAnsi"/>
          <w:sz w:val="22"/>
          <w:szCs w:val="22"/>
        </w:rPr>
      </w:pPr>
    </w:p>
    <w:p w14:paraId="4A9BA67C" w14:textId="77777777" w:rsidR="00A21756" w:rsidRPr="004472FF" w:rsidRDefault="00A21756" w:rsidP="00885623">
      <w:pPr>
        <w:jc w:val="both"/>
        <w:rPr>
          <w:rFonts w:asciiTheme="minorHAnsi" w:hAnsiTheme="minorHAnsi"/>
          <w:sz w:val="22"/>
          <w:szCs w:val="22"/>
        </w:rPr>
      </w:pPr>
    </w:p>
    <w:p w14:paraId="699D4338" w14:textId="5BF23660" w:rsidR="00E30655" w:rsidRDefault="00885623" w:rsidP="00E30655">
      <w:pPr>
        <w:jc w:val="both"/>
        <w:rPr>
          <w:rFonts w:asciiTheme="minorHAnsi" w:hAnsiTheme="minorHAnsi"/>
          <w:sz w:val="22"/>
          <w:szCs w:val="22"/>
        </w:rPr>
      </w:pPr>
      <w:proofErr w:type="spellStart"/>
      <w:r w:rsidRPr="004472FF">
        <w:rPr>
          <w:rFonts w:asciiTheme="minorHAnsi" w:hAnsiTheme="minorHAnsi"/>
          <w:sz w:val="22"/>
          <w:szCs w:val="22"/>
        </w:rPr>
        <w:t>Kada</w:t>
      </w:r>
      <w:proofErr w:type="spellEnd"/>
      <w:r w:rsidRPr="004472FF">
        <w:rPr>
          <w:rFonts w:asciiTheme="minorHAnsi" w:hAnsiTheme="minorHAnsi"/>
          <w:sz w:val="22"/>
          <w:szCs w:val="22"/>
        </w:rPr>
        <w:t xml:space="preserve"> je u </w:t>
      </w:r>
      <w:proofErr w:type="spellStart"/>
      <w:r w:rsidRPr="004472FF">
        <w:rPr>
          <w:rFonts w:asciiTheme="minorHAnsi" w:hAnsiTheme="minorHAnsi"/>
          <w:sz w:val="22"/>
          <w:szCs w:val="22"/>
        </w:rPr>
        <w:t>pitanju</w:t>
      </w:r>
      <w:proofErr w:type="spellEnd"/>
      <w:r w:rsidRPr="004472FF">
        <w:rPr>
          <w:rFonts w:asciiTheme="minorHAnsi" w:hAnsiTheme="minorHAnsi"/>
          <w:sz w:val="22"/>
          <w:szCs w:val="22"/>
        </w:rPr>
        <w:t xml:space="preserve"> </w:t>
      </w:r>
      <w:proofErr w:type="spellStart"/>
      <w:r w:rsidRPr="004472FF">
        <w:rPr>
          <w:rFonts w:asciiTheme="minorHAnsi" w:hAnsiTheme="minorHAnsi"/>
          <w:sz w:val="22"/>
          <w:szCs w:val="22"/>
        </w:rPr>
        <w:t>strateški</w:t>
      </w:r>
      <w:proofErr w:type="spellEnd"/>
      <w:r w:rsidRPr="004472FF">
        <w:rPr>
          <w:rFonts w:asciiTheme="minorHAnsi" w:hAnsiTheme="minorHAnsi"/>
          <w:sz w:val="22"/>
          <w:szCs w:val="22"/>
        </w:rPr>
        <w:t xml:space="preserve"> </w:t>
      </w:r>
      <w:proofErr w:type="spellStart"/>
      <w:r w:rsidRPr="004472FF">
        <w:rPr>
          <w:rFonts w:asciiTheme="minorHAnsi" w:hAnsiTheme="minorHAnsi"/>
          <w:sz w:val="22"/>
          <w:szCs w:val="22"/>
        </w:rPr>
        <w:t>pravac</w:t>
      </w:r>
      <w:proofErr w:type="spellEnd"/>
      <w:r w:rsidRPr="004472FF">
        <w:rPr>
          <w:rFonts w:asciiTheme="minorHAnsi" w:hAnsiTheme="minorHAnsi"/>
          <w:sz w:val="22"/>
          <w:szCs w:val="22"/>
        </w:rPr>
        <w:t xml:space="preserve"> </w:t>
      </w:r>
      <w:proofErr w:type="spellStart"/>
      <w:r w:rsidRPr="004472FF">
        <w:rPr>
          <w:rFonts w:asciiTheme="minorHAnsi" w:hAnsiTheme="minorHAnsi"/>
          <w:sz w:val="22"/>
          <w:szCs w:val="22"/>
        </w:rPr>
        <w:t>opštine</w:t>
      </w:r>
      <w:proofErr w:type="spellEnd"/>
      <w:r w:rsidRPr="004472FF">
        <w:rPr>
          <w:rFonts w:asciiTheme="minorHAnsi" w:hAnsiTheme="minorHAnsi"/>
          <w:sz w:val="22"/>
          <w:szCs w:val="22"/>
        </w:rPr>
        <w:t xml:space="preserve"> </w:t>
      </w:r>
      <w:proofErr w:type="spellStart"/>
      <w:r w:rsidR="00061868">
        <w:rPr>
          <w:rFonts w:asciiTheme="minorHAnsi" w:hAnsiTheme="minorHAnsi"/>
          <w:sz w:val="22"/>
          <w:szCs w:val="22"/>
        </w:rPr>
        <w:t>Bač</w:t>
      </w:r>
      <w:proofErr w:type="spellEnd"/>
      <w:r w:rsidR="00061868">
        <w:rPr>
          <w:rFonts w:asciiTheme="minorHAnsi" w:hAnsiTheme="minorHAnsi"/>
          <w:sz w:val="22"/>
          <w:szCs w:val="22"/>
        </w:rPr>
        <w:t>,</w:t>
      </w:r>
      <w:r w:rsidRPr="004472FF">
        <w:rPr>
          <w:rFonts w:asciiTheme="minorHAnsi" w:hAnsiTheme="minorHAnsi"/>
          <w:sz w:val="22"/>
          <w:szCs w:val="22"/>
        </w:rPr>
        <w:t xml:space="preserve"> </w:t>
      </w:r>
      <w:proofErr w:type="spellStart"/>
      <w:r w:rsidRPr="004472FF">
        <w:rPr>
          <w:rFonts w:asciiTheme="minorHAnsi" w:hAnsiTheme="minorHAnsi"/>
          <w:sz w:val="22"/>
          <w:szCs w:val="22"/>
        </w:rPr>
        <w:t>prioritetna</w:t>
      </w:r>
      <w:proofErr w:type="spellEnd"/>
      <w:r w:rsidRPr="004472FF">
        <w:rPr>
          <w:rFonts w:asciiTheme="minorHAnsi" w:hAnsiTheme="minorHAnsi"/>
          <w:sz w:val="22"/>
          <w:szCs w:val="22"/>
        </w:rPr>
        <w:t xml:space="preserve"> oblast</w:t>
      </w:r>
      <w:r w:rsidR="009E6CB8">
        <w:rPr>
          <w:rFonts w:asciiTheme="minorHAnsi" w:hAnsiTheme="minorHAnsi"/>
          <w:sz w:val="22"/>
          <w:szCs w:val="22"/>
        </w:rPr>
        <w:t xml:space="preserve"> u </w:t>
      </w:r>
      <w:proofErr w:type="spellStart"/>
      <w:r w:rsidR="009E6CB8">
        <w:rPr>
          <w:rFonts w:asciiTheme="minorHAnsi" w:hAnsiTheme="minorHAnsi"/>
          <w:sz w:val="22"/>
          <w:szCs w:val="22"/>
        </w:rPr>
        <w:t>okviru</w:t>
      </w:r>
      <w:proofErr w:type="spellEnd"/>
      <w:r w:rsidR="009E6CB8">
        <w:rPr>
          <w:rFonts w:asciiTheme="minorHAnsi" w:hAnsiTheme="minorHAnsi"/>
          <w:sz w:val="22"/>
          <w:szCs w:val="22"/>
        </w:rPr>
        <w:t xml:space="preserve"> </w:t>
      </w:r>
      <w:proofErr w:type="spellStart"/>
      <w:r w:rsidR="009E6CB8">
        <w:rPr>
          <w:rFonts w:asciiTheme="minorHAnsi" w:hAnsiTheme="minorHAnsi"/>
          <w:sz w:val="22"/>
          <w:szCs w:val="22"/>
        </w:rPr>
        <w:t>sektora</w:t>
      </w:r>
      <w:proofErr w:type="spellEnd"/>
      <w:r w:rsidR="009E6CB8">
        <w:rPr>
          <w:rFonts w:asciiTheme="minorHAnsi" w:hAnsiTheme="minorHAnsi"/>
          <w:sz w:val="22"/>
          <w:szCs w:val="22"/>
        </w:rPr>
        <w:t xml:space="preserve"> </w:t>
      </w:r>
      <w:proofErr w:type="spellStart"/>
      <w:r w:rsidR="009E6CB8">
        <w:rPr>
          <w:rFonts w:asciiTheme="minorHAnsi" w:hAnsiTheme="minorHAnsi"/>
          <w:sz w:val="22"/>
          <w:szCs w:val="22"/>
        </w:rPr>
        <w:t>obrazovanja</w:t>
      </w:r>
      <w:proofErr w:type="spellEnd"/>
      <w:r w:rsidR="009E6CB8">
        <w:rPr>
          <w:rFonts w:asciiTheme="minorHAnsi" w:hAnsiTheme="minorHAnsi"/>
          <w:sz w:val="22"/>
          <w:szCs w:val="22"/>
        </w:rPr>
        <w:t xml:space="preserve"> bi </w:t>
      </w:r>
      <w:proofErr w:type="spellStart"/>
      <w:r w:rsidR="009E6CB8">
        <w:rPr>
          <w:rFonts w:asciiTheme="minorHAnsi" w:hAnsiTheme="minorHAnsi"/>
          <w:sz w:val="22"/>
          <w:szCs w:val="22"/>
        </w:rPr>
        <w:t>trebalo</w:t>
      </w:r>
      <w:proofErr w:type="spellEnd"/>
      <w:r w:rsidR="009E6CB8">
        <w:rPr>
          <w:rFonts w:asciiTheme="minorHAnsi" w:hAnsiTheme="minorHAnsi"/>
          <w:sz w:val="22"/>
          <w:szCs w:val="22"/>
        </w:rPr>
        <w:t xml:space="preserve"> da </w:t>
      </w:r>
      <w:proofErr w:type="spellStart"/>
      <w:r w:rsidR="009E6CB8">
        <w:rPr>
          <w:rFonts w:asciiTheme="minorHAnsi" w:hAnsiTheme="minorHAnsi"/>
          <w:sz w:val="22"/>
          <w:szCs w:val="22"/>
        </w:rPr>
        <w:t>bude</w:t>
      </w:r>
      <w:proofErr w:type="spellEnd"/>
      <w:r w:rsidRPr="004472FF">
        <w:rPr>
          <w:rFonts w:asciiTheme="minorHAnsi" w:hAnsiTheme="minorHAnsi"/>
          <w:sz w:val="22"/>
          <w:szCs w:val="22"/>
        </w:rPr>
        <w:t xml:space="preserve"> </w:t>
      </w:r>
      <w:proofErr w:type="spellStart"/>
      <w:r w:rsidRPr="004472FF">
        <w:rPr>
          <w:rFonts w:asciiTheme="minorHAnsi" w:hAnsiTheme="minorHAnsi"/>
          <w:sz w:val="22"/>
          <w:szCs w:val="22"/>
        </w:rPr>
        <w:t>povećanje</w:t>
      </w:r>
      <w:proofErr w:type="spellEnd"/>
      <w:r w:rsidRPr="004472FF">
        <w:rPr>
          <w:rFonts w:asciiTheme="minorHAnsi" w:hAnsiTheme="minorHAnsi"/>
          <w:sz w:val="22"/>
          <w:szCs w:val="22"/>
        </w:rPr>
        <w:t xml:space="preserve"> </w:t>
      </w:r>
      <w:proofErr w:type="spellStart"/>
      <w:r w:rsidRPr="004472FF">
        <w:rPr>
          <w:rFonts w:asciiTheme="minorHAnsi" w:hAnsiTheme="minorHAnsi"/>
          <w:sz w:val="22"/>
          <w:szCs w:val="22"/>
        </w:rPr>
        <w:t>ob</w:t>
      </w:r>
      <w:r w:rsidR="009E6CB8">
        <w:rPr>
          <w:rFonts w:asciiTheme="minorHAnsi" w:hAnsiTheme="minorHAnsi"/>
          <w:sz w:val="22"/>
          <w:szCs w:val="22"/>
        </w:rPr>
        <w:t>u</w:t>
      </w:r>
      <w:r w:rsidRPr="004472FF">
        <w:rPr>
          <w:rFonts w:asciiTheme="minorHAnsi" w:hAnsiTheme="minorHAnsi"/>
          <w:sz w:val="22"/>
          <w:szCs w:val="22"/>
        </w:rPr>
        <w:t>hvata</w:t>
      </w:r>
      <w:proofErr w:type="spellEnd"/>
      <w:r w:rsidRPr="004472FF">
        <w:rPr>
          <w:rFonts w:asciiTheme="minorHAnsi" w:hAnsiTheme="minorHAnsi"/>
          <w:sz w:val="22"/>
          <w:szCs w:val="22"/>
        </w:rPr>
        <w:t xml:space="preserve"> PVO</w:t>
      </w:r>
      <w:r w:rsidR="00061868">
        <w:rPr>
          <w:rFonts w:asciiTheme="minorHAnsi" w:hAnsiTheme="minorHAnsi"/>
          <w:sz w:val="22"/>
          <w:szCs w:val="22"/>
        </w:rPr>
        <w:t xml:space="preserve">. </w:t>
      </w:r>
      <w:proofErr w:type="spellStart"/>
      <w:r w:rsidR="00061868">
        <w:rPr>
          <w:rFonts w:asciiTheme="minorHAnsi" w:hAnsiTheme="minorHAnsi"/>
          <w:sz w:val="22"/>
          <w:szCs w:val="22"/>
        </w:rPr>
        <w:t>Imajući</w:t>
      </w:r>
      <w:proofErr w:type="spellEnd"/>
      <w:r w:rsidR="00061868">
        <w:rPr>
          <w:rFonts w:asciiTheme="minorHAnsi" w:hAnsiTheme="minorHAnsi"/>
          <w:sz w:val="22"/>
          <w:szCs w:val="22"/>
        </w:rPr>
        <w:t xml:space="preserve"> u </w:t>
      </w:r>
      <w:proofErr w:type="spellStart"/>
      <w:r w:rsidR="00061868">
        <w:rPr>
          <w:rFonts w:asciiTheme="minorHAnsi" w:hAnsiTheme="minorHAnsi"/>
          <w:sz w:val="22"/>
          <w:szCs w:val="22"/>
        </w:rPr>
        <w:t>vidu</w:t>
      </w:r>
      <w:proofErr w:type="spellEnd"/>
      <w:r w:rsidR="00061868">
        <w:rPr>
          <w:rFonts w:asciiTheme="minorHAnsi" w:hAnsiTheme="minorHAnsi"/>
          <w:sz w:val="22"/>
          <w:szCs w:val="22"/>
        </w:rPr>
        <w:t xml:space="preserve"> da </w:t>
      </w:r>
      <w:proofErr w:type="spellStart"/>
      <w:r w:rsidR="00061868">
        <w:rPr>
          <w:rFonts w:asciiTheme="minorHAnsi" w:hAnsiTheme="minorHAnsi"/>
          <w:sz w:val="22"/>
          <w:szCs w:val="22"/>
        </w:rPr>
        <w:t>su</w:t>
      </w:r>
      <w:proofErr w:type="spellEnd"/>
      <w:r w:rsidR="00061868">
        <w:rPr>
          <w:rFonts w:asciiTheme="minorHAnsi" w:hAnsiTheme="minorHAnsi"/>
          <w:sz w:val="22"/>
          <w:szCs w:val="22"/>
        </w:rPr>
        <w:t xml:space="preserve"> </w:t>
      </w:r>
      <w:proofErr w:type="spellStart"/>
      <w:r w:rsidR="00061868">
        <w:rPr>
          <w:rFonts w:asciiTheme="minorHAnsi" w:hAnsiTheme="minorHAnsi"/>
          <w:sz w:val="22"/>
          <w:szCs w:val="22"/>
        </w:rPr>
        <w:t>kapacitetu</w:t>
      </w:r>
      <w:proofErr w:type="spellEnd"/>
      <w:r w:rsidR="00061868">
        <w:rPr>
          <w:rFonts w:asciiTheme="minorHAnsi" w:hAnsiTheme="minorHAnsi"/>
          <w:sz w:val="22"/>
          <w:szCs w:val="22"/>
        </w:rPr>
        <w:t xml:space="preserve"> u </w:t>
      </w:r>
      <w:proofErr w:type="spellStart"/>
      <w:r w:rsidR="00061868">
        <w:rPr>
          <w:rFonts w:asciiTheme="minorHAnsi" w:hAnsiTheme="minorHAnsi"/>
          <w:sz w:val="22"/>
          <w:szCs w:val="22"/>
        </w:rPr>
        <w:t>odnosu</w:t>
      </w:r>
      <w:proofErr w:type="spellEnd"/>
      <w:r w:rsidR="00061868">
        <w:rPr>
          <w:rFonts w:asciiTheme="minorHAnsi" w:hAnsiTheme="minorHAnsi"/>
          <w:sz w:val="22"/>
          <w:szCs w:val="22"/>
        </w:rPr>
        <w:t xml:space="preserve"> </w:t>
      </w:r>
      <w:proofErr w:type="spellStart"/>
      <w:r w:rsidR="00061868">
        <w:rPr>
          <w:rFonts w:asciiTheme="minorHAnsi" w:hAnsiTheme="minorHAnsi"/>
          <w:sz w:val="22"/>
          <w:szCs w:val="22"/>
        </w:rPr>
        <w:t>na</w:t>
      </w:r>
      <w:proofErr w:type="spellEnd"/>
      <w:r w:rsidR="00061868">
        <w:rPr>
          <w:rFonts w:asciiTheme="minorHAnsi" w:hAnsiTheme="minorHAnsi"/>
          <w:sz w:val="22"/>
          <w:szCs w:val="22"/>
        </w:rPr>
        <w:t xml:space="preserve"> </w:t>
      </w:r>
      <w:proofErr w:type="spellStart"/>
      <w:r w:rsidR="00061868">
        <w:rPr>
          <w:rFonts w:asciiTheme="minorHAnsi" w:hAnsiTheme="minorHAnsi"/>
          <w:sz w:val="22"/>
          <w:szCs w:val="22"/>
        </w:rPr>
        <w:t>iskazanu</w:t>
      </w:r>
      <w:proofErr w:type="spellEnd"/>
      <w:r w:rsidR="00061868">
        <w:rPr>
          <w:rFonts w:asciiTheme="minorHAnsi" w:hAnsiTheme="minorHAnsi"/>
          <w:sz w:val="22"/>
          <w:szCs w:val="22"/>
        </w:rPr>
        <w:t xml:space="preserve"> </w:t>
      </w:r>
      <w:proofErr w:type="spellStart"/>
      <w:r w:rsidR="00061868">
        <w:rPr>
          <w:rFonts w:asciiTheme="minorHAnsi" w:hAnsiTheme="minorHAnsi"/>
          <w:sz w:val="22"/>
          <w:szCs w:val="22"/>
        </w:rPr>
        <w:t>tražnju</w:t>
      </w:r>
      <w:proofErr w:type="spellEnd"/>
      <w:r w:rsidR="00061868">
        <w:rPr>
          <w:rFonts w:asciiTheme="minorHAnsi" w:hAnsiTheme="minorHAnsi"/>
          <w:sz w:val="22"/>
          <w:szCs w:val="22"/>
        </w:rPr>
        <w:t xml:space="preserve"> </w:t>
      </w:r>
      <w:proofErr w:type="spellStart"/>
      <w:r w:rsidR="00061868">
        <w:rPr>
          <w:rFonts w:asciiTheme="minorHAnsi" w:hAnsiTheme="minorHAnsi"/>
          <w:sz w:val="22"/>
          <w:szCs w:val="22"/>
        </w:rPr>
        <w:t>zadovoljavajući</w:t>
      </w:r>
      <w:proofErr w:type="spellEnd"/>
      <w:r w:rsidR="00061868">
        <w:rPr>
          <w:rFonts w:asciiTheme="minorHAnsi" w:hAnsiTheme="minorHAnsi"/>
          <w:sz w:val="22"/>
          <w:szCs w:val="22"/>
        </w:rPr>
        <w:t xml:space="preserve">, </w:t>
      </w:r>
      <w:r w:rsidR="00E30655">
        <w:rPr>
          <w:rFonts w:asciiTheme="minorHAnsi" w:hAnsiTheme="minorHAnsi"/>
          <w:sz w:val="22"/>
          <w:szCs w:val="22"/>
        </w:rPr>
        <w:t>u</w:t>
      </w:r>
      <w:r w:rsidR="00061868">
        <w:rPr>
          <w:rFonts w:asciiTheme="minorHAnsi" w:hAnsiTheme="minorHAnsi"/>
          <w:sz w:val="22"/>
          <w:szCs w:val="22"/>
        </w:rPr>
        <w:t xml:space="preserve"> </w:t>
      </w:r>
      <w:proofErr w:type="spellStart"/>
      <w:r w:rsidR="00E30655" w:rsidRPr="002D090E">
        <w:rPr>
          <w:rFonts w:asciiTheme="minorHAnsi" w:hAnsiTheme="minorHAnsi"/>
          <w:sz w:val="22"/>
          <w:szCs w:val="22"/>
        </w:rPr>
        <w:t>cilju</w:t>
      </w:r>
      <w:proofErr w:type="spellEnd"/>
      <w:r w:rsidR="00E30655" w:rsidRPr="002D090E">
        <w:rPr>
          <w:rFonts w:asciiTheme="minorHAnsi" w:hAnsiTheme="minorHAnsi"/>
          <w:sz w:val="22"/>
          <w:szCs w:val="22"/>
        </w:rPr>
        <w:t xml:space="preserve"> </w:t>
      </w:r>
      <w:proofErr w:type="spellStart"/>
      <w:r w:rsidR="00E30655" w:rsidRPr="002D090E">
        <w:rPr>
          <w:rFonts w:asciiTheme="minorHAnsi" w:hAnsiTheme="minorHAnsi"/>
          <w:sz w:val="22"/>
          <w:szCs w:val="22"/>
        </w:rPr>
        <w:t>povećanja</w:t>
      </w:r>
      <w:proofErr w:type="spellEnd"/>
      <w:r w:rsidR="00E30655" w:rsidRPr="002D090E">
        <w:rPr>
          <w:rFonts w:asciiTheme="minorHAnsi" w:hAnsiTheme="minorHAnsi"/>
          <w:sz w:val="22"/>
          <w:szCs w:val="22"/>
        </w:rPr>
        <w:t xml:space="preserve"> </w:t>
      </w:r>
      <w:proofErr w:type="spellStart"/>
      <w:r w:rsidR="00E30655" w:rsidRPr="002D090E">
        <w:rPr>
          <w:rFonts w:asciiTheme="minorHAnsi" w:hAnsiTheme="minorHAnsi"/>
          <w:sz w:val="22"/>
          <w:szCs w:val="22"/>
        </w:rPr>
        <w:t>obuhvata</w:t>
      </w:r>
      <w:proofErr w:type="spellEnd"/>
      <w:r w:rsidR="00E30655" w:rsidRPr="002D090E">
        <w:rPr>
          <w:rFonts w:asciiTheme="minorHAnsi" w:hAnsiTheme="minorHAnsi"/>
          <w:sz w:val="22"/>
          <w:szCs w:val="22"/>
        </w:rPr>
        <w:t xml:space="preserve"> </w:t>
      </w:r>
      <w:proofErr w:type="spellStart"/>
      <w:r w:rsidR="00E30655">
        <w:rPr>
          <w:rFonts w:asciiTheme="minorHAnsi" w:hAnsiTheme="minorHAnsi"/>
          <w:sz w:val="22"/>
          <w:szCs w:val="22"/>
        </w:rPr>
        <w:t>potrebno</w:t>
      </w:r>
      <w:proofErr w:type="spellEnd"/>
      <w:r w:rsidR="00E30655">
        <w:rPr>
          <w:rFonts w:asciiTheme="minorHAnsi" w:hAnsiTheme="minorHAnsi"/>
          <w:sz w:val="22"/>
          <w:szCs w:val="22"/>
        </w:rPr>
        <w:t xml:space="preserve"> je </w:t>
      </w:r>
      <w:r w:rsidR="00E30655" w:rsidRPr="002D090E">
        <w:rPr>
          <w:rFonts w:asciiTheme="minorHAnsi" w:hAnsiTheme="minorHAnsi"/>
          <w:sz w:val="22"/>
          <w:szCs w:val="22"/>
        </w:rPr>
        <w:t xml:space="preserve">pre </w:t>
      </w:r>
      <w:proofErr w:type="spellStart"/>
      <w:r w:rsidR="00E30655" w:rsidRPr="002D090E">
        <w:rPr>
          <w:rFonts w:asciiTheme="minorHAnsi" w:hAnsiTheme="minorHAnsi"/>
          <w:sz w:val="22"/>
          <w:szCs w:val="22"/>
        </w:rPr>
        <w:t>svega</w:t>
      </w:r>
      <w:proofErr w:type="spellEnd"/>
      <w:r w:rsidR="00E30655" w:rsidRPr="002D090E">
        <w:rPr>
          <w:rFonts w:asciiTheme="minorHAnsi" w:hAnsiTheme="minorHAnsi"/>
          <w:sz w:val="22"/>
          <w:szCs w:val="22"/>
        </w:rPr>
        <w:t xml:space="preserve"> </w:t>
      </w:r>
      <w:proofErr w:type="spellStart"/>
      <w:r w:rsidR="00E30655" w:rsidRPr="002D090E">
        <w:rPr>
          <w:rFonts w:asciiTheme="minorHAnsi" w:hAnsiTheme="minorHAnsi"/>
          <w:sz w:val="22"/>
          <w:szCs w:val="22"/>
        </w:rPr>
        <w:t>raditi</w:t>
      </w:r>
      <w:proofErr w:type="spellEnd"/>
      <w:r w:rsidR="00E30655" w:rsidRPr="002D090E">
        <w:rPr>
          <w:rFonts w:asciiTheme="minorHAnsi" w:hAnsiTheme="minorHAnsi"/>
          <w:sz w:val="22"/>
          <w:szCs w:val="22"/>
        </w:rPr>
        <w:t xml:space="preserve"> </w:t>
      </w:r>
      <w:proofErr w:type="spellStart"/>
      <w:r w:rsidR="00E30655" w:rsidRPr="002D090E">
        <w:rPr>
          <w:rFonts w:asciiTheme="minorHAnsi" w:hAnsiTheme="minorHAnsi"/>
          <w:sz w:val="22"/>
          <w:szCs w:val="22"/>
        </w:rPr>
        <w:t>na</w:t>
      </w:r>
      <w:proofErr w:type="spellEnd"/>
      <w:r w:rsidR="00E30655" w:rsidRPr="002D090E">
        <w:rPr>
          <w:rFonts w:asciiTheme="minorHAnsi" w:hAnsiTheme="minorHAnsi"/>
          <w:sz w:val="22"/>
          <w:szCs w:val="22"/>
        </w:rPr>
        <w:t xml:space="preserve"> </w:t>
      </w:r>
      <w:proofErr w:type="spellStart"/>
      <w:r w:rsidR="00E30655" w:rsidRPr="002D090E">
        <w:rPr>
          <w:rFonts w:asciiTheme="minorHAnsi" w:hAnsiTheme="minorHAnsi"/>
          <w:sz w:val="22"/>
          <w:szCs w:val="22"/>
        </w:rPr>
        <w:t>kampanji</w:t>
      </w:r>
      <w:proofErr w:type="spellEnd"/>
      <w:r w:rsidR="00E30655" w:rsidRPr="002D090E">
        <w:rPr>
          <w:rFonts w:asciiTheme="minorHAnsi" w:hAnsiTheme="minorHAnsi"/>
          <w:sz w:val="22"/>
          <w:szCs w:val="22"/>
        </w:rPr>
        <w:t xml:space="preserve"> </w:t>
      </w:r>
      <w:proofErr w:type="spellStart"/>
      <w:r w:rsidR="00E30655" w:rsidRPr="002D090E">
        <w:rPr>
          <w:rFonts w:asciiTheme="minorHAnsi" w:hAnsiTheme="minorHAnsi"/>
          <w:sz w:val="22"/>
          <w:szCs w:val="22"/>
        </w:rPr>
        <w:t>podizanja</w:t>
      </w:r>
      <w:proofErr w:type="spellEnd"/>
      <w:r w:rsidR="00E30655" w:rsidRPr="002D090E">
        <w:rPr>
          <w:rFonts w:asciiTheme="minorHAnsi" w:hAnsiTheme="minorHAnsi"/>
          <w:sz w:val="22"/>
          <w:szCs w:val="22"/>
        </w:rPr>
        <w:t xml:space="preserve"> </w:t>
      </w:r>
      <w:proofErr w:type="spellStart"/>
      <w:r w:rsidR="00E30655" w:rsidRPr="002D090E">
        <w:rPr>
          <w:rFonts w:asciiTheme="minorHAnsi" w:hAnsiTheme="minorHAnsi"/>
          <w:sz w:val="22"/>
          <w:szCs w:val="22"/>
        </w:rPr>
        <w:t>svesti</w:t>
      </w:r>
      <w:proofErr w:type="spellEnd"/>
      <w:r w:rsidR="00E30655" w:rsidRPr="002D090E">
        <w:rPr>
          <w:rFonts w:asciiTheme="minorHAnsi" w:hAnsiTheme="minorHAnsi"/>
          <w:sz w:val="22"/>
          <w:szCs w:val="22"/>
        </w:rPr>
        <w:t xml:space="preserve"> o </w:t>
      </w:r>
      <w:proofErr w:type="spellStart"/>
      <w:r w:rsidR="00E30655" w:rsidRPr="002D090E">
        <w:rPr>
          <w:rFonts w:asciiTheme="minorHAnsi" w:hAnsiTheme="minorHAnsi"/>
          <w:sz w:val="22"/>
          <w:szCs w:val="22"/>
        </w:rPr>
        <w:t>važnosti</w:t>
      </w:r>
      <w:proofErr w:type="spellEnd"/>
      <w:r w:rsidR="00E30655" w:rsidRPr="002D090E">
        <w:rPr>
          <w:rFonts w:asciiTheme="minorHAnsi" w:hAnsiTheme="minorHAnsi"/>
          <w:sz w:val="22"/>
          <w:szCs w:val="22"/>
        </w:rPr>
        <w:t xml:space="preserve"> PVO a u </w:t>
      </w:r>
      <w:proofErr w:type="spellStart"/>
      <w:r w:rsidR="00E30655" w:rsidRPr="002D090E">
        <w:rPr>
          <w:rFonts w:asciiTheme="minorHAnsi" w:hAnsiTheme="minorHAnsi"/>
          <w:sz w:val="22"/>
          <w:szCs w:val="22"/>
        </w:rPr>
        <w:t>isto</w:t>
      </w:r>
      <w:proofErr w:type="spellEnd"/>
      <w:r w:rsidR="00E30655" w:rsidRPr="002D090E">
        <w:rPr>
          <w:rFonts w:asciiTheme="minorHAnsi" w:hAnsiTheme="minorHAnsi"/>
          <w:sz w:val="22"/>
          <w:szCs w:val="22"/>
        </w:rPr>
        <w:t xml:space="preserve"> </w:t>
      </w:r>
      <w:proofErr w:type="spellStart"/>
      <w:r w:rsidR="00E30655" w:rsidRPr="002D090E">
        <w:rPr>
          <w:rFonts w:asciiTheme="minorHAnsi" w:hAnsiTheme="minorHAnsi"/>
          <w:sz w:val="22"/>
          <w:szCs w:val="22"/>
        </w:rPr>
        <w:t>vreme</w:t>
      </w:r>
      <w:proofErr w:type="spellEnd"/>
      <w:r w:rsidR="00E30655" w:rsidRPr="002D090E">
        <w:rPr>
          <w:rFonts w:asciiTheme="minorHAnsi" w:hAnsiTheme="minorHAnsi"/>
          <w:sz w:val="22"/>
          <w:szCs w:val="22"/>
        </w:rPr>
        <w:t xml:space="preserve"> </w:t>
      </w:r>
      <w:proofErr w:type="spellStart"/>
      <w:r w:rsidR="00E30655" w:rsidRPr="002D090E">
        <w:rPr>
          <w:rFonts w:asciiTheme="minorHAnsi" w:hAnsiTheme="minorHAnsi"/>
          <w:sz w:val="22"/>
          <w:szCs w:val="22"/>
        </w:rPr>
        <w:t>ponuditi</w:t>
      </w:r>
      <w:proofErr w:type="spellEnd"/>
      <w:r w:rsidR="00E30655" w:rsidRPr="002D090E">
        <w:rPr>
          <w:rFonts w:asciiTheme="minorHAnsi" w:hAnsiTheme="minorHAnsi"/>
          <w:sz w:val="22"/>
          <w:szCs w:val="22"/>
        </w:rPr>
        <w:t xml:space="preserve"> </w:t>
      </w:r>
      <w:proofErr w:type="spellStart"/>
      <w:r w:rsidR="00E30655" w:rsidRPr="002D090E">
        <w:rPr>
          <w:rFonts w:asciiTheme="minorHAnsi" w:hAnsiTheme="minorHAnsi"/>
          <w:sz w:val="22"/>
          <w:szCs w:val="22"/>
        </w:rPr>
        <w:t>poludnevne</w:t>
      </w:r>
      <w:proofErr w:type="spellEnd"/>
      <w:r w:rsidR="00E30655" w:rsidRPr="002D090E">
        <w:rPr>
          <w:rFonts w:asciiTheme="minorHAnsi" w:hAnsiTheme="minorHAnsi"/>
          <w:sz w:val="22"/>
          <w:szCs w:val="22"/>
        </w:rPr>
        <w:t xml:space="preserve"> </w:t>
      </w:r>
      <w:proofErr w:type="spellStart"/>
      <w:r w:rsidR="00E30655" w:rsidRPr="002D090E">
        <w:rPr>
          <w:rFonts w:asciiTheme="minorHAnsi" w:hAnsiTheme="minorHAnsi"/>
          <w:sz w:val="22"/>
          <w:szCs w:val="22"/>
        </w:rPr>
        <w:t>ili</w:t>
      </w:r>
      <w:proofErr w:type="spellEnd"/>
      <w:r w:rsidR="00E30655" w:rsidRPr="002D090E">
        <w:rPr>
          <w:rFonts w:asciiTheme="minorHAnsi" w:hAnsiTheme="minorHAnsi"/>
          <w:sz w:val="22"/>
          <w:szCs w:val="22"/>
        </w:rPr>
        <w:t xml:space="preserve"> </w:t>
      </w:r>
      <w:proofErr w:type="spellStart"/>
      <w:r w:rsidR="00E30655" w:rsidRPr="002D090E">
        <w:rPr>
          <w:rFonts w:asciiTheme="minorHAnsi" w:hAnsiTheme="minorHAnsi"/>
          <w:sz w:val="22"/>
          <w:szCs w:val="22"/>
        </w:rPr>
        <w:t>druge</w:t>
      </w:r>
      <w:proofErr w:type="spellEnd"/>
      <w:r w:rsidR="00E30655" w:rsidRPr="002D090E">
        <w:rPr>
          <w:rFonts w:asciiTheme="minorHAnsi" w:hAnsiTheme="minorHAnsi"/>
          <w:sz w:val="22"/>
          <w:szCs w:val="22"/>
        </w:rPr>
        <w:t xml:space="preserve"> </w:t>
      </w:r>
      <w:proofErr w:type="spellStart"/>
      <w:r w:rsidR="00E30655" w:rsidRPr="002D090E">
        <w:rPr>
          <w:rFonts w:asciiTheme="minorHAnsi" w:hAnsiTheme="minorHAnsi"/>
          <w:sz w:val="22"/>
          <w:szCs w:val="22"/>
        </w:rPr>
        <w:t>fleksibilne</w:t>
      </w:r>
      <w:proofErr w:type="spellEnd"/>
      <w:r w:rsidR="00E30655" w:rsidRPr="002D090E">
        <w:rPr>
          <w:rFonts w:asciiTheme="minorHAnsi" w:hAnsiTheme="minorHAnsi"/>
          <w:sz w:val="22"/>
          <w:szCs w:val="22"/>
        </w:rPr>
        <w:t xml:space="preserve"> </w:t>
      </w:r>
      <w:proofErr w:type="spellStart"/>
      <w:r w:rsidR="00E30655" w:rsidRPr="002D090E">
        <w:rPr>
          <w:rFonts w:asciiTheme="minorHAnsi" w:hAnsiTheme="minorHAnsi"/>
          <w:sz w:val="22"/>
          <w:szCs w:val="22"/>
        </w:rPr>
        <w:t>programe</w:t>
      </w:r>
      <w:proofErr w:type="spellEnd"/>
      <w:r w:rsidR="00E30655" w:rsidRPr="002D090E">
        <w:rPr>
          <w:rFonts w:asciiTheme="minorHAnsi" w:hAnsiTheme="minorHAnsi"/>
          <w:sz w:val="22"/>
          <w:szCs w:val="22"/>
        </w:rPr>
        <w:t xml:space="preserve"> </w:t>
      </w:r>
      <w:proofErr w:type="spellStart"/>
      <w:r w:rsidR="00E30655" w:rsidRPr="002D090E">
        <w:rPr>
          <w:rFonts w:asciiTheme="minorHAnsi" w:hAnsiTheme="minorHAnsi"/>
          <w:sz w:val="22"/>
          <w:szCs w:val="22"/>
        </w:rPr>
        <w:t>kojima</w:t>
      </w:r>
      <w:proofErr w:type="spellEnd"/>
      <w:r w:rsidR="00E30655" w:rsidRPr="002D090E">
        <w:rPr>
          <w:rFonts w:asciiTheme="minorHAnsi" w:hAnsiTheme="minorHAnsi"/>
          <w:sz w:val="22"/>
          <w:szCs w:val="22"/>
        </w:rPr>
        <w:t xml:space="preserve"> </w:t>
      </w:r>
      <w:proofErr w:type="spellStart"/>
      <w:r w:rsidR="00E30655" w:rsidRPr="002D090E">
        <w:rPr>
          <w:rFonts w:asciiTheme="minorHAnsi" w:hAnsiTheme="minorHAnsi"/>
          <w:sz w:val="22"/>
          <w:szCs w:val="22"/>
        </w:rPr>
        <w:t>primarni</w:t>
      </w:r>
      <w:proofErr w:type="spellEnd"/>
      <w:r w:rsidR="00E30655" w:rsidRPr="002D090E">
        <w:rPr>
          <w:rFonts w:asciiTheme="minorHAnsi" w:hAnsiTheme="minorHAnsi"/>
          <w:sz w:val="22"/>
          <w:szCs w:val="22"/>
        </w:rPr>
        <w:t xml:space="preserve"> </w:t>
      </w:r>
      <w:proofErr w:type="spellStart"/>
      <w:r w:rsidR="00E30655" w:rsidRPr="002D090E">
        <w:rPr>
          <w:rFonts w:asciiTheme="minorHAnsi" w:hAnsiTheme="minorHAnsi"/>
          <w:sz w:val="22"/>
          <w:szCs w:val="22"/>
        </w:rPr>
        <w:t>cilj</w:t>
      </w:r>
      <w:proofErr w:type="spellEnd"/>
      <w:r w:rsidR="00E30655" w:rsidRPr="002D090E">
        <w:rPr>
          <w:rFonts w:asciiTheme="minorHAnsi" w:hAnsiTheme="minorHAnsi"/>
          <w:sz w:val="22"/>
          <w:szCs w:val="22"/>
        </w:rPr>
        <w:t xml:space="preserve"> </w:t>
      </w:r>
      <w:proofErr w:type="spellStart"/>
      <w:r w:rsidR="00E30655" w:rsidRPr="002D090E">
        <w:rPr>
          <w:rFonts w:asciiTheme="minorHAnsi" w:hAnsiTheme="minorHAnsi"/>
          <w:sz w:val="22"/>
          <w:szCs w:val="22"/>
        </w:rPr>
        <w:t>nije</w:t>
      </w:r>
      <w:proofErr w:type="spellEnd"/>
      <w:r w:rsidR="00E30655" w:rsidRPr="002D090E">
        <w:rPr>
          <w:rFonts w:asciiTheme="minorHAnsi" w:hAnsiTheme="minorHAnsi"/>
          <w:sz w:val="22"/>
          <w:szCs w:val="22"/>
        </w:rPr>
        <w:t xml:space="preserve"> </w:t>
      </w:r>
      <w:proofErr w:type="spellStart"/>
      <w:r w:rsidR="00E30655" w:rsidRPr="002D090E">
        <w:rPr>
          <w:rFonts w:asciiTheme="minorHAnsi" w:hAnsiTheme="minorHAnsi"/>
          <w:sz w:val="22"/>
          <w:szCs w:val="22"/>
        </w:rPr>
        <w:t>čuvanje</w:t>
      </w:r>
      <w:proofErr w:type="spellEnd"/>
      <w:r w:rsidR="00E30655" w:rsidRPr="002D090E">
        <w:rPr>
          <w:rFonts w:asciiTheme="minorHAnsi" w:hAnsiTheme="minorHAnsi"/>
          <w:sz w:val="22"/>
          <w:szCs w:val="22"/>
        </w:rPr>
        <w:t xml:space="preserve"> </w:t>
      </w:r>
      <w:proofErr w:type="spellStart"/>
      <w:r w:rsidR="00E30655" w:rsidRPr="002D090E">
        <w:rPr>
          <w:rFonts w:asciiTheme="minorHAnsi" w:hAnsiTheme="minorHAnsi"/>
          <w:sz w:val="22"/>
          <w:szCs w:val="22"/>
        </w:rPr>
        <w:t>dece</w:t>
      </w:r>
      <w:proofErr w:type="spellEnd"/>
      <w:r w:rsidR="00E30655" w:rsidRPr="002D090E">
        <w:rPr>
          <w:rFonts w:asciiTheme="minorHAnsi" w:hAnsiTheme="minorHAnsi"/>
          <w:sz w:val="22"/>
          <w:szCs w:val="22"/>
        </w:rPr>
        <w:t xml:space="preserve"> </w:t>
      </w:r>
      <w:proofErr w:type="spellStart"/>
      <w:r w:rsidR="00E30655" w:rsidRPr="002D090E">
        <w:rPr>
          <w:rFonts w:asciiTheme="minorHAnsi" w:hAnsiTheme="minorHAnsi"/>
          <w:sz w:val="22"/>
          <w:szCs w:val="22"/>
        </w:rPr>
        <w:t>već</w:t>
      </w:r>
      <w:proofErr w:type="spellEnd"/>
      <w:r w:rsidR="00E30655" w:rsidRPr="002D090E">
        <w:rPr>
          <w:rFonts w:asciiTheme="minorHAnsi" w:hAnsiTheme="minorHAnsi"/>
          <w:sz w:val="22"/>
          <w:szCs w:val="22"/>
        </w:rPr>
        <w:t xml:space="preserve"> </w:t>
      </w:r>
      <w:proofErr w:type="spellStart"/>
      <w:r w:rsidR="00E30655" w:rsidRPr="002D090E">
        <w:rPr>
          <w:rFonts w:asciiTheme="minorHAnsi" w:hAnsiTheme="minorHAnsi"/>
          <w:sz w:val="22"/>
          <w:szCs w:val="22"/>
        </w:rPr>
        <w:t>vaspitno</w:t>
      </w:r>
      <w:proofErr w:type="spellEnd"/>
      <w:r w:rsidR="00E30655" w:rsidRPr="002D090E">
        <w:rPr>
          <w:rFonts w:asciiTheme="minorHAnsi" w:hAnsiTheme="minorHAnsi"/>
          <w:sz w:val="22"/>
          <w:szCs w:val="22"/>
        </w:rPr>
        <w:t xml:space="preserve"> </w:t>
      </w:r>
      <w:proofErr w:type="spellStart"/>
      <w:r w:rsidR="00E30655" w:rsidRPr="002D090E">
        <w:rPr>
          <w:rFonts w:asciiTheme="minorHAnsi" w:hAnsiTheme="minorHAnsi"/>
          <w:sz w:val="22"/>
          <w:szCs w:val="22"/>
        </w:rPr>
        <w:t>obrazovna</w:t>
      </w:r>
      <w:proofErr w:type="spellEnd"/>
      <w:r w:rsidR="00E30655" w:rsidRPr="002D090E">
        <w:rPr>
          <w:rFonts w:asciiTheme="minorHAnsi" w:hAnsiTheme="minorHAnsi"/>
          <w:sz w:val="22"/>
          <w:szCs w:val="22"/>
        </w:rPr>
        <w:t xml:space="preserve"> </w:t>
      </w:r>
      <w:proofErr w:type="spellStart"/>
      <w:r w:rsidR="00E30655" w:rsidRPr="002D090E">
        <w:rPr>
          <w:rFonts w:asciiTheme="minorHAnsi" w:hAnsiTheme="minorHAnsi"/>
          <w:sz w:val="22"/>
          <w:szCs w:val="22"/>
        </w:rPr>
        <w:t>uloga</w:t>
      </w:r>
      <w:proofErr w:type="spellEnd"/>
      <w:r w:rsidR="00E30655" w:rsidRPr="002D090E">
        <w:rPr>
          <w:rFonts w:asciiTheme="minorHAnsi" w:hAnsiTheme="minorHAnsi"/>
          <w:sz w:val="22"/>
          <w:szCs w:val="22"/>
        </w:rPr>
        <w:t xml:space="preserve"> PVO </w:t>
      </w:r>
      <w:proofErr w:type="spellStart"/>
      <w:r w:rsidR="00E30655" w:rsidRPr="002D090E">
        <w:rPr>
          <w:rFonts w:asciiTheme="minorHAnsi" w:hAnsiTheme="minorHAnsi"/>
          <w:sz w:val="22"/>
          <w:szCs w:val="22"/>
        </w:rPr>
        <w:t>i</w:t>
      </w:r>
      <w:proofErr w:type="spellEnd"/>
      <w:r w:rsidR="00E30655" w:rsidRPr="002D090E">
        <w:rPr>
          <w:rFonts w:asciiTheme="minorHAnsi" w:hAnsiTheme="minorHAnsi"/>
          <w:sz w:val="22"/>
          <w:szCs w:val="22"/>
        </w:rPr>
        <w:t xml:space="preserve"> </w:t>
      </w:r>
      <w:proofErr w:type="spellStart"/>
      <w:r w:rsidR="00E30655" w:rsidRPr="002D090E">
        <w:rPr>
          <w:rFonts w:asciiTheme="minorHAnsi" w:hAnsiTheme="minorHAnsi"/>
          <w:sz w:val="22"/>
          <w:szCs w:val="22"/>
        </w:rPr>
        <w:t>uključivanju</w:t>
      </w:r>
      <w:proofErr w:type="spellEnd"/>
      <w:r w:rsidR="00E30655" w:rsidRPr="002D090E">
        <w:rPr>
          <w:rFonts w:asciiTheme="minorHAnsi" w:hAnsiTheme="minorHAnsi"/>
          <w:sz w:val="22"/>
          <w:szCs w:val="22"/>
        </w:rPr>
        <w:t xml:space="preserve"> </w:t>
      </w:r>
      <w:proofErr w:type="spellStart"/>
      <w:r w:rsidR="00E30655" w:rsidRPr="002D090E">
        <w:rPr>
          <w:rFonts w:asciiTheme="minorHAnsi" w:hAnsiTheme="minorHAnsi"/>
          <w:sz w:val="22"/>
          <w:szCs w:val="22"/>
        </w:rPr>
        <w:t>dece</w:t>
      </w:r>
      <w:proofErr w:type="spellEnd"/>
      <w:r w:rsidR="00E30655" w:rsidRPr="002D090E">
        <w:rPr>
          <w:rFonts w:asciiTheme="minorHAnsi" w:hAnsiTheme="minorHAnsi"/>
          <w:sz w:val="22"/>
          <w:szCs w:val="22"/>
        </w:rPr>
        <w:t xml:space="preserve"> u </w:t>
      </w:r>
      <w:proofErr w:type="spellStart"/>
      <w:r w:rsidR="00E30655" w:rsidRPr="002D090E">
        <w:rPr>
          <w:rFonts w:asciiTheme="minorHAnsi" w:hAnsiTheme="minorHAnsi"/>
          <w:sz w:val="22"/>
          <w:szCs w:val="22"/>
        </w:rPr>
        <w:t>društvenu</w:t>
      </w:r>
      <w:proofErr w:type="spellEnd"/>
      <w:r w:rsidR="00E30655" w:rsidRPr="002D090E">
        <w:rPr>
          <w:rFonts w:asciiTheme="minorHAnsi" w:hAnsiTheme="minorHAnsi"/>
          <w:sz w:val="22"/>
          <w:szCs w:val="22"/>
        </w:rPr>
        <w:t xml:space="preserve"> </w:t>
      </w:r>
      <w:proofErr w:type="spellStart"/>
      <w:r w:rsidR="00E30655" w:rsidRPr="002D090E">
        <w:rPr>
          <w:rFonts w:asciiTheme="minorHAnsi" w:hAnsiTheme="minorHAnsi"/>
          <w:sz w:val="22"/>
          <w:szCs w:val="22"/>
        </w:rPr>
        <w:t>zajednicu</w:t>
      </w:r>
      <w:proofErr w:type="spellEnd"/>
      <w:r w:rsidR="00E30655" w:rsidRPr="002D090E">
        <w:rPr>
          <w:rFonts w:asciiTheme="minorHAnsi" w:hAnsiTheme="minorHAnsi"/>
          <w:sz w:val="22"/>
          <w:szCs w:val="22"/>
        </w:rPr>
        <w:t xml:space="preserve">. </w:t>
      </w:r>
      <w:proofErr w:type="spellStart"/>
      <w:r w:rsidR="00E30655">
        <w:rPr>
          <w:rFonts w:asciiTheme="minorHAnsi" w:hAnsiTheme="minorHAnsi"/>
          <w:sz w:val="22"/>
          <w:szCs w:val="22"/>
        </w:rPr>
        <w:t>Značajno</w:t>
      </w:r>
      <w:proofErr w:type="spellEnd"/>
      <w:r w:rsidR="00E30655">
        <w:rPr>
          <w:rFonts w:asciiTheme="minorHAnsi" w:hAnsiTheme="minorHAnsi"/>
          <w:sz w:val="22"/>
          <w:szCs w:val="22"/>
        </w:rPr>
        <w:t xml:space="preserve"> je </w:t>
      </w:r>
      <w:proofErr w:type="spellStart"/>
      <w:r w:rsidR="00E30655">
        <w:rPr>
          <w:rFonts w:asciiTheme="minorHAnsi" w:hAnsiTheme="minorHAnsi"/>
          <w:sz w:val="22"/>
          <w:szCs w:val="22"/>
        </w:rPr>
        <w:t>postojeće</w:t>
      </w:r>
      <w:proofErr w:type="spellEnd"/>
      <w:r w:rsidR="00E30655">
        <w:rPr>
          <w:rFonts w:asciiTheme="minorHAnsi" w:hAnsiTheme="minorHAnsi"/>
          <w:sz w:val="22"/>
          <w:szCs w:val="22"/>
        </w:rPr>
        <w:t xml:space="preserve"> </w:t>
      </w:r>
      <w:proofErr w:type="spellStart"/>
      <w:r w:rsidR="00E30655">
        <w:rPr>
          <w:rFonts w:asciiTheme="minorHAnsi" w:hAnsiTheme="minorHAnsi"/>
          <w:sz w:val="22"/>
          <w:szCs w:val="22"/>
        </w:rPr>
        <w:t>iskustvo</w:t>
      </w:r>
      <w:proofErr w:type="spellEnd"/>
      <w:r w:rsidR="00E30655">
        <w:rPr>
          <w:rFonts w:asciiTheme="minorHAnsi" w:hAnsiTheme="minorHAnsi"/>
          <w:sz w:val="22"/>
          <w:szCs w:val="22"/>
        </w:rPr>
        <w:t xml:space="preserve"> </w:t>
      </w:r>
      <w:proofErr w:type="spellStart"/>
      <w:r w:rsidR="00E30655">
        <w:rPr>
          <w:rFonts w:asciiTheme="minorHAnsi" w:hAnsiTheme="minorHAnsi"/>
          <w:sz w:val="22"/>
          <w:szCs w:val="22"/>
        </w:rPr>
        <w:t>Bača</w:t>
      </w:r>
      <w:proofErr w:type="spellEnd"/>
      <w:r w:rsidR="00E30655">
        <w:rPr>
          <w:rFonts w:asciiTheme="minorHAnsi" w:hAnsiTheme="minorHAnsi"/>
          <w:sz w:val="22"/>
          <w:szCs w:val="22"/>
        </w:rPr>
        <w:t xml:space="preserve"> </w:t>
      </w:r>
      <w:proofErr w:type="spellStart"/>
      <w:r w:rsidR="00E30655">
        <w:rPr>
          <w:rFonts w:asciiTheme="minorHAnsi" w:hAnsiTheme="minorHAnsi"/>
          <w:sz w:val="22"/>
          <w:szCs w:val="22"/>
        </w:rPr>
        <w:t>sa</w:t>
      </w:r>
      <w:proofErr w:type="spellEnd"/>
      <w:r w:rsidR="00E30655">
        <w:rPr>
          <w:rFonts w:asciiTheme="minorHAnsi" w:hAnsiTheme="minorHAnsi"/>
          <w:sz w:val="22"/>
          <w:szCs w:val="22"/>
        </w:rPr>
        <w:t xml:space="preserve"> </w:t>
      </w:r>
      <w:proofErr w:type="spellStart"/>
      <w:r w:rsidR="00E30655">
        <w:rPr>
          <w:rFonts w:asciiTheme="minorHAnsi" w:hAnsiTheme="minorHAnsi"/>
          <w:sz w:val="22"/>
          <w:szCs w:val="22"/>
        </w:rPr>
        <w:t>kraćim</w:t>
      </w:r>
      <w:proofErr w:type="spellEnd"/>
      <w:r w:rsidR="00E30655">
        <w:rPr>
          <w:rFonts w:asciiTheme="minorHAnsi" w:hAnsiTheme="minorHAnsi"/>
          <w:sz w:val="22"/>
          <w:szCs w:val="22"/>
        </w:rPr>
        <w:t xml:space="preserve"> </w:t>
      </w:r>
      <w:proofErr w:type="spellStart"/>
      <w:r w:rsidR="00E30655">
        <w:rPr>
          <w:rFonts w:asciiTheme="minorHAnsi" w:hAnsiTheme="minorHAnsi"/>
          <w:sz w:val="22"/>
          <w:szCs w:val="22"/>
        </w:rPr>
        <w:t>programima</w:t>
      </w:r>
      <w:proofErr w:type="spellEnd"/>
      <w:r w:rsidR="00E30655">
        <w:rPr>
          <w:rFonts w:asciiTheme="minorHAnsi" w:hAnsiTheme="minorHAnsi"/>
          <w:sz w:val="22"/>
          <w:szCs w:val="22"/>
        </w:rPr>
        <w:t xml:space="preserve"> </w:t>
      </w:r>
      <w:proofErr w:type="spellStart"/>
      <w:r w:rsidR="00E30655">
        <w:rPr>
          <w:rFonts w:asciiTheme="minorHAnsi" w:hAnsiTheme="minorHAnsi"/>
          <w:sz w:val="22"/>
          <w:szCs w:val="22"/>
        </w:rPr>
        <w:t>što</w:t>
      </w:r>
      <w:proofErr w:type="spellEnd"/>
      <w:r w:rsidR="00E30655">
        <w:rPr>
          <w:rFonts w:asciiTheme="minorHAnsi" w:hAnsiTheme="minorHAnsi"/>
          <w:sz w:val="22"/>
          <w:szCs w:val="22"/>
        </w:rPr>
        <w:t xml:space="preserve"> se </w:t>
      </w:r>
      <w:proofErr w:type="spellStart"/>
      <w:r w:rsidR="00E30655">
        <w:rPr>
          <w:rFonts w:asciiTheme="minorHAnsi" w:hAnsiTheme="minorHAnsi"/>
          <w:sz w:val="22"/>
          <w:szCs w:val="22"/>
        </w:rPr>
        <w:t>može</w:t>
      </w:r>
      <w:proofErr w:type="spellEnd"/>
      <w:r w:rsidR="00E30655">
        <w:rPr>
          <w:rFonts w:asciiTheme="minorHAnsi" w:hAnsiTheme="minorHAnsi"/>
          <w:sz w:val="22"/>
          <w:szCs w:val="22"/>
        </w:rPr>
        <w:t xml:space="preserve"> </w:t>
      </w:r>
      <w:proofErr w:type="spellStart"/>
      <w:r w:rsidR="00E30655">
        <w:rPr>
          <w:rFonts w:asciiTheme="minorHAnsi" w:hAnsiTheme="minorHAnsi"/>
          <w:sz w:val="22"/>
          <w:szCs w:val="22"/>
        </w:rPr>
        <w:t>iskoristiti</w:t>
      </w:r>
      <w:proofErr w:type="spellEnd"/>
      <w:r w:rsidR="00E30655">
        <w:rPr>
          <w:rFonts w:asciiTheme="minorHAnsi" w:hAnsiTheme="minorHAnsi"/>
          <w:sz w:val="22"/>
          <w:szCs w:val="22"/>
        </w:rPr>
        <w:t xml:space="preserve"> </w:t>
      </w:r>
      <w:proofErr w:type="spellStart"/>
      <w:r w:rsidR="00E30655">
        <w:rPr>
          <w:rFonts w:asciiTheme="minorHAnsi" w:hAnsiTheme="minorHAnsi"/>
          <w:sz w:val="22"/>
          <w:szCs w:val="22"/>
        </w:rPr>
        <w:t>povećanjem</w:t>
      </w:r>
      <w:proofErr w:type="spellEnd"/>
      <w:r w:rsidR="00E30655">
        <w:rPr>
          <w:rFonts w:asciiTheme="minorHAnsi" w:hAnsiTheme="minorHAnsi"/>
          <w:sz w:val="22"/>
          <w:szCs w:val="22"/>
        </w:rPr>
        <w:t xml:space="preserve"> </w:t>
      </w:r>
      <w:proofErr w:type="spellStart"/>
      <w:r w:rsidR="00E30655">
        <w:rPr>
          <w:rFonts w:asciiTheme="minorHAnsi" w:hAnsiTheme="minorHAnsi"/>
          <w:sz w:val="22"/>
          <w:szCs w:val="22"/>
        </w:rPr>
        <w:t>ponude</w:t>
      </w:r>
      <w:proofErr w:type="spellEnd"/>
      <w:r w:rsidR="00E30655">
        <w:rPr>
          <w:rFonts w:asciiTheme="minorHAnsi" w:hAnsiTheme="minorHAnsi"/>
          <w:sz w:val="22"/>
          <w:szCs w:val="22"/>
        </w:rPr>
        <w:t xml:space="preserve"> </w:t>
      </w:r>
      <w:proofErr w:type="spellStart"/>
      <w:r w:rsidR="00E30655">
        <w:rPr>
          <w:rFonts w:asciiTheme="minorHAnsi" w:hAnsiTheme="minorHAnsi"/>
          <w:sz w:val="22"/>
          <w:szCs w:val="22"/>
        </w:rPr>
        <w:t>istih</w:t>
      </w:r>
      <w:proofErr w:type="spellEnd"/>
      <w:r w:rsidR="00E30655">
        <w:rPr>
          <w:rFonts w:asciiTheme="minorHAnsi" w:hAnsiTheme="minorHAnsi"/>
          <w:sz w:val="22"/>
          <w:szCs w:val="22"/>
        </w:rPr>
        <w:t xml:space="preserve">. </w:t>
      </w:r>
    </w:p>
    <w:p w14:paraId="55F39222" w14:textId="7375D5C2" w:rsidR="00061868" w:rsidRPr="00061868" w:rsidRDefault="00061868" w:rsidP="00061868">
      <w:pPr>
        <w:jc w:val="both"/>
        <w:rPr>
          <w:rFonts w:asciiTheme="minorHAnsi" w:hAnsiTheme="minorHAnsi"/>
          <w:sz w:val="22"/>
          <w:szCs w:val="22"/>
        </w:rPr>
      </w:pPr>
    </w:p>
    <w:p w14:paraId="412066A9" w14:textId="1D4799B1" w:rsidR="00A64AC6" w:rsidRPr="002D090E" w:rsidRDefault="00A64AC6" w:rsidP="0092509C">
      <w:pPr>
        <w:jc w:val="both"/>
        <w:rPr>
          <w:rFonts w:asciiTheme="minorHAnsi" w:hAnsiTheme="minorHAnsi"/>
          <w:sz w:val="22"/>
          <w:szCs w:val="22"/>
        </w:rPr>
      </w:pPr>
    </w:p>
    <w:sectPr w:rsidR="00A64AC6" w:rsidRPr="002D090E" w:rsidSect="006E45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761F5" w14:textId="77777777" w:rsidR="00546BB3" w:rsidRDefault="00546BB3" w:rsidP="00DB5D24">
      <w:r>
        <w:separator/>
      </w:r>
    </w:p>
  </w:endnote>
  <w:endnote w:type="continuationSeparator" w:id="0">
    <w:p w14:paraId="3E088A1A" w14:textId="77777777" w:rsidR="00546BB3" w:rsidRDefault="00546BB3" w:rsidP="00DB5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dy CS)">
    <w:panose1 w:val="00000000000000000000"/>
    <w:charset w:val="00"/>
    <w:family w:val="roman"/>
    <w:notTrueType/>
    <w:pitch w:val="variable"/>
    <w:sig w:usb0="E0002AEF" w:usb1="C0007841"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Body)">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BD288" w14:textId="77777777" w:rsidR="00546BB3" w:rsidRDefault="00546BB3" w:rsidP="00DB5D24">
      <w:r>
        <w:separator/>
      </w:r>
    </w:p>
  </w:footnote>
  <w:footnote w:type="continuationSeparator" w:id="0">
    <w:p w14:paraId="2593585D" w14:textId="77777777" w:rsidR="00546BB3" w:rsidRDefault="00546BB3" w:rsidP="00DB5D24">
      <w:r>
        <w:continuationSeparator/>
      </w:r>
    </w:p>
  </w:footnote>
  <w:footnote w:id="1">
    <w:p w14:paraId="43A6F2E1" w14:textId="1A210B57" w:rsidR="00CC4909" w:rsidRPr="002D090E" w:rsidRDefault="00CC4909">
      <w:pPr>
        <w:pStyle w:val="FootnoteText"/>
        <w:rPr>
          <w:rFonts w:cstheme="minorHAnsi"/>
          <w:sz w:val="18"/>
          <w:szCs w:val="18"/>
          <w:lang w:val="sr-Latn-RS"/>
        </w:rPr>
      </w:pPr>
      <w:r w:rsidRPr="002D090E">
        <w:rPr>
          <w:rStyle w:val="FootnoteReference"/>
          <w:rFonts w:cstheme="minorHAnsi"/>
          <w:sz w:val="18"/>
          <w:szCs w:val="18"/>
        </w:rPr>
        <w:footnoteRef/>
      </w:r>
      <w:r w:rsidRPr="002D090E">
        <w:rPr>
          <w:rFonts w:cstheme="minorHAnsi"/>
          <w:sz w:val="18"/>
          <w:szCs w:val="18"/>
        </w:rPr>
        <w:t xml:space="preserve"> </w:t>
      </w:r>
      <w:proofErr w:type="spellStart"/>
      <w:r w:rsidRPr="002D090E">
        <w:rPr>
          <w:rFonts w:eastAsia="Calibri" w:cstheme="minorHAnsi"/>
          <w:sz w:val="18"/>
          <w:szCs w:val="18"/>
        </w:rPr>
        <w:t>Nadležnost</w:t>
      </w:r>
      <w:proofErr w:type="spellEnd"/>
      <w:r w:rsidRPr="002D090E">
        <w:rPr>
          <w:rFonts w:cstheme="minorHAnsi"/>
          <w:sz w:val="18"/>
          <w:szCs w:val="18"/>
        </w:rPr>
        <w:t xml:space="preserve"> </w:t>
      </w:r>
      <w:proofErr w:type="spellStart"/>
      <w:r w:rsidRPr="002D090E">
        <w:rPr>
          <w:rFonts w:eastAsia="Calibri" w:cstheme="minorHAnsi"/>
          <w:sz w:val="18"/>
          <w:szCs w:val="18"/>
        </w:rPr>
        <w:t>finansiranja</w:t>
      </w:r>
      <w:proofErr w:type="spellEnd"/>
      <w:r w:rsidRPr="002D090E">
        <w:rPr>
          <w:rFonts w:cstheme="minorHAnsi"/>
          <w:sz w:val="18"/>
          <w:szCs w:val="18"/>
        </w:rPr>
        <w:t xml:space="preserve"> </w:t>
      </w:r>
      <w:proofErr w:type="spellStart"/>
      <w:r w:rsidRPr="002D090E">
        <w:rPr>
          <w:rFonts w:eastAsia="Calibri" w:cstheme="minorHAnsi"/>
          <w:sz w:val="18"/>
          <w:szCs w:val="18"/>
        </w:rPr>
        <w:t>obrazovanja</w:t>
      </w:r>
      <w:proofErr w:type="spellEnd"/>
      <w:r w:rsidRPr="002D090E">
        <w:rPr>
          <w:rFonts w:cstheme="minorHAnsi"/>
          <w:sz w:val="18"/>
          <w:szCs w:val="18"/>
        </w:rPr>
        <w:t xml:space="preserve"> </w:t>
      </w:r>
      <w:r w:rsidRPr="002D090E">
        <w:rPr>
          <w:rFonts w:eastAsia="Calibri" w:cstheme="minorHAnsi"/>
          <w:sz w:val="18"/>
          <w:szCs w:val="18"/>
        </w:rPr>
        <w:t>je</w:t>
      </w:r>
      <w:r w:rsidRPr="002D090E">
        <w:rPr>
          <w:rFonts w:cstheme="minorHAnsi"/>
          <w:sz w:val="18"/>
          <w:szCs w:val="18"/>
        </w:rPr>
        <w:t xml:space="preserve"> </w:t>
      </w:r>
      <w:proofErr w:type="spellStart"/>
      <w:r w:rsidRPr="002D090E">
        <w:rPr>
          <w:rFonts w:eastAsia="Calibri" w:cstheme="minorHAnsi"/>
          <w:sz w:val="18"/>
          <w:szCs w:val="18"/>
        </w:rPr>
        <w:t>okvirno</w:t>
      </w:r>
      <w:proofErr w:type="spellEnd"/>
      <w:r w:rsidRPr="002D090E">
        <w:rPr>
          <w:rFonts w:cstheme="minorHAnsi"/>
          <w:sz w:val="18"/>
          <w:szCs w:val="18"/>
        </w:rPr>
        <w:t xml:space="preserve"> </w:t>
      </w:r>
      <w:proofErr w:type="spellStart"/>
      <w:r w:rsidRPr="002D090E">
        <w:rPr>
          <w:rFonts w:eastAsia="Calibri" w:cstheme="minorHAnsi"/>
          <w:sz w:val="18"/>
          <w:szCs w:val="18"/>
        </w:rPr>
        <w:t>regulisana</w:t>
      </w:r>
      <w:proofErr w:type="spellEnd"/>
      <w:r w:rsidRPr="002D090E">
        <w:rPr>
          <w:rFonts w:cstheme="minorHAnsi"/>
          <w:sz w:val="18"/>
          <w:szCs w:val="18"/>
        </w:rPr>
        <w:t xml:space="preserve"> </w:t>
      </w:r>
      <w:proofErr w:type="spellStart"/>
      <w:r w:rsidRPr="002D090E">
        <w:rPr>
          <w:rFonts w:eastAsia="Calibri" w:cstheme="minorHAnsi"/>
          <w:i/>
          <w:sz w:val="18"/>
          <w:szCs w:val="18"/>
        </w:rPr>
        <w:t>Zakonom</w:t>
      </w:r>
      <w:proofErr w:type="spellEnd"/>
      <w:r w:rsidRPr="002D090E">
        <w:rPr>
          <w:rFonts w:cstheme="minorHAnsi"/>
          <w:i/>
          <w:sz w:val="18"/>
          <w:szCs w:val="18"/>
        </w:rPr>
        <w:t xml:space="preserve"> </w:t>
      </w:r>
      <w:r w:rsidRPr="002D090E">
        <w:rPr>
          <w:rFonts w:eastAsia="Calibri" w:cstheme="minorHAnsi"/>
          <w:i/>
          <w:sz w:val="18"/>
          <w:szCs w:val="18"/>
        </w:rPr>
        <w:t>o</w:t>
      </w:r>
      <w:r w:rsidRPr="002D090E">
        <w:rPr>
          <w:rFonts w:cstheme="minorHAnsi"/>
          <w:i/>
          <w:sz w:val="18"/>
          <w:szCs w:val="18"/>
        </w:rPr>
        <w:t xml:space="preserve"> </w:t>
      </w:r>
      <w:proofErr w:type="spellStart"/>
      <w:r w:rsidRPr="002D090E">
        <w:rPr>
          <w:rFonts w:eastAsia="Calibri" w:cstheme="minorHAnsi"/>
          <w:i/>
          <w:sz w:val="18"/>
          <w:szCs w:val="18"/>
        </w:rPr>
        <w:t>osnovama</w:t>
      </w:r>
      <w:proofErr w:type="spellEnd"/>
      <w:r w:rsidRPr="002D090E">
        <w:rPr>
          <w:rFonts w:cstheme="minorHAnsi"/>
          <w:i/>
          <w:sz w:val="18"/>
          <w:szCs w:val="18"/>
        </w:rPr>
        <w:t xml:space="preserve"> </w:t>
      </w:r>
      <w:proofErr w:type="spellStart"/>
      <w:r w:rsidRPr="002D090E">
        <w:rPr>
          <w:rFonts w:eastAsia="Calibri" w:cstheme="minorHAnsi"/>
          <w:i/>
          <w:sz w:val="18"/>
          <w:szCs w:val="18"/>
        </w:rPr>
        <w:t>sistema</w:t>
      </w:r>
      <w:proofErr w:type="spellEnd"/>
      <w:r w:rsidRPr="002D090E">
        <w:rPr>
          <w:rFonts w:cstheme="minorHAnsi"/>
          <w:i/>
          <w:sz w:val="18"/>
          <w:szCs w:val="18"/>
        </w:rPr>
        <w:t xml:space="preserve"> </w:t>
      </w:r>
      <w:proofErr w:type="spellStart"/>
      <w:r w:rsidRPr="002D090E">
        <w:rPr>
          <w:rFonts w:eastAsia="Calibri" w:cstheme="minorHAnsi"/>
          <w:i/>
          <w:sz w:val="18"/>
          <w:szCs w:val="18"/>
        </w:rPr>
        <w:t>obrazovanja</w:t>
      </w:r>
      <w:proofErr w:type="spellEnd"/>
      <w:r w:rsidRPr="002D090E">
        <w:rPr>
          <w:rFonts w:cstheme="minorHAnsi"/>
          <w:i/>
          <w:sz w:val="18"/>
          <w:szCs w:val="18"/>
        </w:rPr>
        <w:t xml:space="preserve"> </w:t>
      </w:r>
      <w:proofErr w:type="spellStart"/>
      <w:r w:rsidRPr="002D090E">
        <w:rPr>
          <w:rFonts w:eastAsia="Calibri" w:cstheme="minorHAnsi"/>
          <w:i/>
          <w:sz w:val="18"/>
          <w:szCs w:val="18"/>
        </w:rPr>
        <w:t>i</w:t>
      </w:r>
      <w:proofErr w:type="spellEnd"/>
      <w:r w:rsidRPr="002D090E">
        <w:rPr>
          <w:rFonts w:cstheme="minorHAnsi"/>
          <w:i/>
          <w:sz w:val="18"/>
          <w:szCs w:val="18"/>
        </w:rPr>
        <w:t xml:space="preserve"> </w:t>
      </w:r>
      <w:proofErr w:type="spellStart"/>
      <w:r w:rsidRPr="002D090E">
        <w:rPr>
          <w:rFonts w:eastAsia="Calibri" w:cstheme="minorHAnsi"/>
          <w:i/>
          <w:sz w:val="18"/>
          <w:szCs w:val="18"/>
        </w:rPr>
        <w:t>vaspitanja</w:t>
      </w:r>
      <w:proofErr w:type="spellEnd"/>
      <w:r w:rsidRPr="002D090E">
        <w:rPr>
          <w:rFonts w:cstheme="minorHAnsi"/>
          <w:sz w:val="18"/>
          <w:szCs w:val="18"/>
        </w:rPr>
        <w:t xml:space="preserve"> (</w:t>
      </w:r>
      <w:r w:rsidRPr="002D090E">
        <w:rPr>
          <w:rFonts w:eastAsia="Calibri" w:cstheme="minorHAnsi"/>
          <w:sz w:val="18"/>
          <w:szCs w:val="18"/>
        </w:rPr>
        <w:t>ZOSOV</w:t>
      </w:r>
      <w:r w:rsidRPr="002D090E">
        <w:rPr>
          <w:rFonts w:cstheme="minorHAnsi"/>
          <w:sz w:val="18"/>
          <w:szCs w:val="18"/>
        </w:rPr>
        <w:t>)</w:t>
      </w:r>
      <w:r w:rsidR="00480DA3" w:rsidRPr="002D090E">
        <w:rPr>
          <w:rFonts w:cstheme="minorHAnsi"/>
          <w:sz w:val="18"/>
          <w:szCs w:val="18"/>
        </w:rPr>
        <w:t>, “</w:t>
      </w:r>
      <w:proofErr w:type="spellStart"/>
      <w:r w:rsidR="00480DA3" w:rsidRPr="002D090E">
        <w:rPr>
          <w:rFonts w:cstheme="minorHAnsi"/>
          <w:sz w:val="18"/>
          <w:szCs w:val="18"/>
        </w:rPr>
        <w:t>Službeni</w:t>
      </w:r>
      <w:proofErr w:type="spellEnd"/>
      <w:r w:rsidR="00480DA3" w:rsidRPr="002D090E">
        <w:rPr>
          <w:rFonts w:cstheme="minorHAnsi"/>
          <w:sz w:val="18"/>
          <w:szCs w:val="18"/>
        </w:rPr>
        <w:t xml:space="preserve"> </w:t>
      </w:r>
      <w:proofErr w:type="spellStart"/>
      <w:r w:rsidR="00480DA3" w:rsidRPr="002D090E">
        <w:rPr>
          <w:rFonts w:cstheme="minorHAnsi"/>
          <w:sz w:val="18"/>
          <w:szCs w:val="18"/>
        </w:rPr>
        <w:t>glasnik</w:t>
      </w:r>
      <w:proofErr w:type="spellEnd"/>
      <w:r w:rsidR="00480DA3" w:rsidRPr="002D090E">
        <w:rPr>
          <w:rFonts w:cstheme="minorHAnsi"/>
          <w:sz w:val="18"/>
          <w:szCs w:val="18"/>
        </w:rPr>
        <w:t xml:space="preserve"> RS” br. 88/2017, 27/2018 - dr. </w:t>
      </w:r>
      <w:proofErr w:type="spellStart"/>
      <w:r w:rsidR="00480DA3" w:rsidRPr="002D090E">
        <w:rPr>
          <w:rFonts w:cstheme="minorHAnsi"/>
          <w:sz w:val="18"/>
          <w:szCs w:val="18"/>
        </w:rPr>
        <w:t>zakon</w:t>
      </w:r>
      <w:proofErr w:type="spellEnd"/>
      <w:r w:rsidR="00480DA3" w:rsidRPr="002D090E">
        <w:rPr>
          <w:rFonts w:cstheme="minorHAnsi"/>
          <w:sz w:val="18"/>
          <w:szCs w:val="18"/>
        </w:rPr>
        <w:t xml:space="preserve">, 10/2019, 27/2018 - dr. </w:t>
      </w:r>
      <w:proofErr w:type="spellStart"/>
      <w:r w:rsidR="00480DA3" w:rsidRPr="002D090E">
        <w:rPr>
          <w:rFonts w:cstheme="minorHAnsi"/>
          <w:sz w:val="18"/>
          <w:szCs w:val="18"/>
        </w:rPr>
        <w:t>zakon</w:t>
      </w:r>
      <w:proofErr w:type="spellEnd"/>
      <w:r w:rsidR="00480DA3" w:rsidRPr="002D090E">
        <w:rPr>
          <w:rFonts w:cstheme="minorHAnsi"/>
          <w:sz w:val="18"/>
          <w:szCs w:val="18"/>
        </w:rPr>
        <w:t xml:space="preserve"> </w:t>
      </w:r>
      <w:proofErr w:type="spellStart"/>
      <w:r w:rsidR="00480DA3" w:rsidRPr="002D090E">
        <w:rPr>
          <w:rFonts w:cstheme="minorHAnsi"/>
          <w:sz w:val="18"/>
          <w:szCs w:val="18"/>
        </w:rPr>
        <w:t>i</w:t>
      </w:r>
      <w:proofErr w:type="spellEnd"/>
      <w:r w:rsidR="00480DA3" w:rsidRPr="002D090E">
        <w:rPr>
          <w:rFonts w:cstheme="minorHAnsi"/>
          <w:sz w:val="18"/>
          <w:szCs w:val="18"/>
        </w:rPr>
        <w:t xml:space="preserve"> 6/2020)</w:t>
      </w:r>
    </w:p>
  </w:footnote>
  <w:footnote w:id="2">
    <w:p w14:paraId="14408884" w14:textId="77777777" w:rsidR="00A81258" w:rsidRPr="002D090E" w:rsidRDefault="00A81258" w:rsidP="00A81258">
      <w:pPr>
        <w:spacing w:before="120" w:line="276" w:lineRule="auto"/>
        <w:jc w:val="both"/>
        <w:rPr>
          <w:rFonts w:asciiTheme="minorHAnsi" w:hAnsiTheme="minorHAnsi" w:cstheme="minorHAnsi"/>
          <w:sz w:val="18"/>
          <w:szCs w:val="18"/>
        </w:rPr>
      </w:pPr>
      <w:r w:rsidRPr="002D090E">
        <w:rPr>
          <w:rStyle w:val="FootnoteReference"/>
          <w:rFonts w:asciiTheme="minorHAnsi" w:hAnsiTheme="minorHAnsi" w:cstheme="minorHAnsi"/>
          <w:sz w:val="18"/>
          <w:szCs w:val="18"/>
        </w:rPr>
        <w:footnoteRef/>
      </w:r>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Član</w:t>
      </w:r>
      <w:proofErr w:type="spellEnd"/>
      <w:r w:rsidRPr="002D090E">
        <w:rPr>
          <w:rFonts w:asciiTheme="minorHAnsi" w:hAnsiTheme="minorHAnsi" w:cstheme="minorHAnsi"/>
          <w:sz w:val="18"/>
          <w:szCs w:val="18"/>
        </w:rPr>
        <w:t xml:space="preserve"> 108. ZOSOV </w:t>
      </w:r>
      <w:proofErr w:type="spellStart"/>
      <w:r w:rsidRPr="002D090E">
        <w:rPr>
          <w:rFonts w:asciiTheme="minorHAnsi" w:hAnsiTheme="minorHAnsi" w:cstheme="minorHAnsi"/>
          <w:sz w:val="18"/>
          <w:szCs w:val="18"/>
        </w:rPr>
        <w:t>uređuje</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odgovornost</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ustanove</w:t>
      </w:r>
      <w:proofErr w:type="spellEnd"/>
      <w:r w:rsidRPr="002D090E">
        <w:rPr>
          <w:rFonts w:asciiTheme="minorHAnsi" w:hAnsiTheme="minorHAnsi" w:cstheme="minorHAnsi"/>
          <w:sz w:val="18"/>
          <w:szCs w:val="18"/>
        </w:rPr>
        <w:t xml:space="preserve"> za </w:t>
      </w:r>
      <w:proofErr w:type="spellStart"/>
      <w:r w:rsidRPr="002D090E">
        <w:rPr>
          <w:rFonts w:asciiTheme="minorHAnsi" w:hAnsiTheme="minorHAnsi" w:cstheme="minorHAnsi"/>
          <w:sz w:val="18"/>
          <w:szCs w:val="18"/>
        </w:rPr>
        <w:t>bezbednost</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dece</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i</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učenika</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odnosno</w:t>
      </w:r>
      <w:proofErr w:type="spellEnd"/>
      <w:r w:rsidRPr="002D090E">
        <w:rPr>
          <w:rFonts w:asciiTheme="minorHAnsi" w:hAnsiTheme="minorHAnsi" w:cstheme="minorHAnsi"/>
          <w:sz w:val="18"/>
          <w:szCs w:val="18"/>
        </w:rPr>
        <w:t xml:space="preserve"> da </w:t>
      </w:r>
      <w:proofErr w:type="spellStart"/>
      <w:r w:rsidRPr="002D090E">
        <w:rPr>
          <w:rFonts w:asciiTheme="minorHAnsi" w:hAnsiTheme="minorHAnsi" w:cstheme="minorHAnsi"/>
          <w:sz w:val="18"/>
          <w:szCs w:val="18"/>
        </w:rPr>
        <w:t>ustanova</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donosi</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akt</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kojim</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propisuje</w:t>
      </w:r>
      <w:proofErr w:type="spellEnd"/>
      <w:r w:rsidRPr="002D090E">
        <w:rPr>
          <w:rFonts w:asciiTheme="minorHAnsi" w:hAnsiTheme="minorHAnsi" w:cstheme="minorHAnsi"/>
          <w:sz w:val="18"/>
          <w:szCs w:val="18"/>
        </w:rPr>
        <w:t xml:space="preserve"> mere, </w:t>
      </w:r>
      <w:proofErr w:type="spellStart"/>
      <w:r w:rsidRPr="002D090E">
        <w:rPr>
          <w:rFonts w:asciiTheme="minorHAnsi" w:hAnsiTheme="minorHAnsi" w:cstheme="minorHAnsi"/>
          <w:sz w:val="18"/>
          <w:szCs w:val="18"/>
        </w:rPr>
        <w:t>način</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i</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postupak</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zaštite</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i</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bezbednosti</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dece</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i</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učenika</w:t>
      </w:r>
      <w:proofErr w:type="spellEnd"/>
      <w:r w:rsidRPr="002D090E">
        <w:rPr>
          <w:rFonts w:asciiTheme="minorHAnsi" w:hAnsiTheme="minorHAnsi" w:cstheme="minorHAnsi"/>
          <w:sz w:val="18"/>
          <w:szCs w:val="18"/>
        </w:rPr>
        <w:t xml:space="preserve"> za </w:t>
      </w:r>
      <w:proofErr w:type="spellStart"/>
      <w:r w:rsidRPr="002D090E">
        <w:rPr>
          <w:rFonts w:asciiTheme="minorHAnsi" w:hAnsiTheme="minorHAnsi" w:cstheme="minorHAnsi"/>
          <w:sz w:val="18"/>
          <w:szCs w:val="18"/>
        </w:rPr>
        <w:t>vreme</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boravka</w:t>
      </w:r>
      <w:proofErr w:type="spellEnd"/>
      <w:r w:rsidRPr="002D090E">
        <w:rPr>
          <w:rFonts w:asciiTheme="minorHAnsi" w:hAnsiTheme="minorHAnsi" w:cstheme="minorHAnsi"/>
          <w:sz w:val="18"/>
          <w:szCs w:val="18"/>
        </w:rPr>
        <w:t xml:space="preserve"> u </w:t>
      </w:r>
      <w:proofErr w:type="spellStart"/>
      <w:r w:rsidRPr="002D090E">
        <w:rPr>
          <w:rFonts w:asciiTheme="minorHAnsi" w:hAnsiTheme="minorHAnsi" w:cstheme="minorHAnsi"/>
          <w:sz w:val="18"/>
          <w:szCs w:val="18"/>
        </w:rPr>
        <w:t>ustanovi</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i</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svih</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aktivnosti</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koje</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organizuje</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ustanova</w:t>
      </w:r>
      <w:proofErr w:type="spellEnd"/>
      <w:r w:rsidRPr="002D090E">
        <w:rPr>
          <w:rFonts w:asciiTheme="minorHAnsi" w:hAnsiTheme="minorHAnsi" w:cstheme="minorHAnsi"/>
          <w:sz w:val="18"/>
          <w:szCs w:val="18"/>
        </w:rPr>
        <w:t xml:space="preserve">, u </w:t>
      </w:r>
      <w:proofErr w:type="spellStart"/>
      <w:r w:rsidRPr="002D090E">
        <w:rPr>
          <w:rFonts w:asciiTheme="minorHAnsi" w:hAnsiTheme="minorHAnsi" w:cstheme="minorHAnsi"/>
          <w:sz w:val="18"/>
          <w:szCs w:val="18"/>
        </w:rPr>
        <w:t>saradnji</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sa</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nadležnim</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organom</w:t>
      </w:r>
      <w:proofErr w:type="spellEnd"/>
      <w:r w:rsidRPr="002D090E">
        <w:rPr>
          <w:rFonts w:asciiTheme="minorHAnsi" w:hAnsiTheme="minorHAnsi" w:cstheme="minorHAnsi"/>
          <w:sz w:val="18"/>
          <w:szCs w:val="18"/>
        </w:rPr>
        <w:t xml:space="preserve"> JLS, </w:t>
      </w:r>
      <w:proofErr w:type="spellStart"/>
      <w:r w:rsidRPr="002D090E">
        <w:rPr>
          <w:rFonts w:asciiTheme="minorHAnsi" w:hAnsiTheme="minorHAnsi" w:cstheme="minorHAnsi"/>
          <w:sz w:val="18"/>
          <w:szCs w:val="18"/>
        </w:rPr>
        <w:t>koje</w:t>
      </w:r>
      <w:proofErr w:type="spellEnd"/>
      <w:r w:rsidRPr="002D090E">
        <w:rPr>
          <w:rFonts w:asciiTheme="minorHAnsi" w:hAnsiTheme="minorHAnsi" w:cstheme="minorHAnsi"/>
          <w:sz w:val="18"/>
          <w:szCs w:val="18"/>
        </w:rPr>
        <w:t xml:space="preserve"> je </w:t>
      </w:r>
      <w:proofErr w:type="spellStart"/>
      <w:r w:rsidRPr="002D090E">
        <w:rPr>
          <w:rFonts w:asciiTheme="minorHAnsi" w:hAnsiTheme="minorHAnsi" w:cstheme="minorHAnsi"/>
          <w:sz w:val="18"/>
          <w:szCs w:val="18"/>
        </w:rPr>
        <w:t>dužna</w:t>
      </w:r>
      <w:proofErr w:type="spellEnd"/>
      <w:r w:rsidRPr="002D090E">
        <w:rPr>
          <w:rFonts w:asciiTheme="minorHAnsi" w:hAnsiTheme="minorHAnsi" w:cstheme="minorHAnsi"/>
          <w:sz w:val="18"/>
          <w:szCs w:val="18"/>
        </w:rPr>
        <w:t xml:space="preserve"> da </w:t>
      </w:r>
      <w:proofErr w:type="spellStart"/>
      <w:r w:rsidRPr="002D090E">
        <w:rPr>
          <w:rFonts w:asciiTheme="minorHAnsi" w:hAnsiTheme="minorHAnsi" w:cstheme="minorHAnsi"/>
          <w:sz w:val="18"/>
          <w:szCs w:val="18"/>
        </w:rPr>
        <w:t>sprovodi</w:t>
      </w:r>
      <w:proofErr w:type="spellEnd"/>
      <w:r w:rsidRPr="002D090E">
        <w:rPr>
          <w:rFonts w:asciiTheme="minorHAnsi" w:hAnsiTheme="minorHAnsi" w:cstheme="minorHAnsi"/>
          <w:sz w:val="18"/>
          <w:szCs w:val="18"/>
        </w:rPr>
        <w:t>.</w:t>
      </w:r>
    </w:p>
  </w:footnote>
  <w:footnote w:id="3">
    <w:p w14:paraId="2E83E00D" w14:textId="47CB2D65" w:rsidR="00164FE4" w:rsidRPr="002D090E" w:rsidRDefault="00164FE4">
      <w:pPr>
        <w:pStyle w:val="FootnoteText"/>
        <w:rPr>
          <w:rFonts w:cstheme="minorHAnsi"/>
          <w:sz w:val="18"/>
          <w:szCs w:val="18"/>
          <w:lang w:val="sr-Latn-RS"/>
        </w:rPr>
      </w:pPr>
      <w:r w:rsidRPr="002D090E">
        <w:rPr>
          <w:rStyle w:val="FootnoteReference"/>
          <w:rFonts w:cstheme="minorHAnsi"/>
          <w:sz w:val="18"/>
          <w:szCs w:val="18"/>
        </w:rPr>
        <w:footnoteRef/>
      </w:r>
      <w:r w:rsidRPr="002D090E">
        <w:rPr>
          <w:rFonts w:cstheme="minorHAnsi"/>
          <w:sz w:val="18"/>
          <w:szCs w:val="18"/>
        </w:rPr>
        <w:t xml:space="preserve"> </w:t>
      </w:r>
      <w:proofErr w:type="spellStart"/>
      <w:r w:rsidRPr="002D090E">
        <w:rPr>
          <w:rFonts w:cstheme="minorHAnsi"/>
          <w:sz w:val="18"/>
          <w:szCs w:val="18"/>
        </w:rPr>
        <w:t>Zapravo</w:t>
      </w:r>
      <w:proofErr w:type="spellEnd"/>
      <w:r w:rsidRPr="002D090E">
        <w:rPr>
          <w:rFonts w:cstheme="minorHAnsi"/>
          <w:sz w:val="18"/>
          <w:szCs w:val="18"/>
        </w:rPr>
        <w:t xml:space="preserve"> pre </w:t>
      </w:r>
      <w:proofErr w:type="spellStart"/>
      <w:r w:rsidRPr="002D090E">
        <w:rPr>
          <w:rFonts w:cstheme="minorHAnsi"/>
          <w:sz w:val="18"/>
          <w:szCs w:val="18"/>
        </w:rPr>
        <w:t>izmena</w:t>
      </w:r>
      <w:proofErr w:type="spellEnd"/>
      <w:r w:rsidRPr="002D090E">
        <w:rPr>
          <w:rFonts w:cstheme="minorHAnsi"/>
          <w:sz w:val="18"/>
          <w:szCs w:val="18"/>
        </w:rPr>
        <w:t xml:space="preserve"> ZOSOV </w:t>
      </w:r>
      <w:proofErr w:type="spellStart"/>
      <w:r w:rsidRPr="002D090E">
        <w:rPr>
          <w:rFonts w:cstheme="minorHAnsi"/>
          <w:sz w:val="18"/>
          <w:szCs w:val="18"/>
        </w:rPr>
        <w:t>iz</w:t>
      </w:r>
      <w:proofErr w:type="spellEnd"/>
      <w:r w:rsidRPr="002D090E">
        <w:rPr>
          <w:rFonts w:cstheme="minorHAnsi"/>
          <w:sz w:val="18"/>
          <w:szCs w:val="18"/>
        </w:rPr>
        <w:t xml:space="preserve"> 2017. </w:t>
      </w:r>
      <w:proofErr w:type="spellStart"/>
      <w:r w:rsidRPr="002D090E">
        <w:rPr>
          <w:rFonts w:cstheme="minorHAnsi"/>
          <w:sz w:val="18"/>
          <w:szCs w:val="18"/>
        </w:rPr>
        <w:t>godine</w:t>
      </w:r>
      <w:proofErr w:type="spellEnd"/>
      <w:r w:rsidRPr="002D090E">
        <w:rPr>
          <w:rFonts w:cstheme="minorHAnsi"/>
          <w:sz w:val="18"/>
          <w:szCs w:val="18"/>
        </w:rPr>
        <w:t xml:space="preserve">, JLS </w:t>
      </w:r>
      <w:proofErr w:type="spellStart"/>
      <w:r w:rsidRPr="002D090E">
        <w:rPr>
          <w:rFonts w:cstheme="minorHAnsi"/>
          <w:sz w:val="18"/>
          <w:szCs w:val="18"/>
        </w:rPr>
        <w:t>su</w:t>
      </w:r>
      <w:proofErr w:type="spellEnd"/>
      <w:r w:rsidRPr="002D090E">
        <w:rPr>
          <w:rFonts w:cstheme="minorHAnsi"/>
          <w:sz w:val="18"/>
          <w:szCs w:val="18"/>
        </w:rPr>
        <w:t xml:space="preserve"> bile u </w:t>
      </w:r>
      <w:proofErr w:type="spellStart"/>
      <w:r w:rsidRPr="002D090E">
        <w:rPr>
          <w:rFonts w:cstheme="minorHAnsi"/>
          <w:sz w:val="18"/>
          <w:szCs w:val="18"/>
        </w:rPr>
        <w:t>obavezi</w:t>
      </w:r>
      <w:proofErr w:type="spellEnd"/>
      <w:r w:rsidRPr="002D090E">
        <w:rPr>
          <w:rFonts w:cstheme="minorHAnsi"/>
          <w:sz w:val="18"/>
          <w:szCs w:val="18"/>
        </w:rPr>
        <w:t xml:space="preserve"> da </w:t>
      </w:r>
      <w:proofErr w:type="spellStart"/>
      <w:r w:rsidRPr="002D090E">
        <w:rPr>
          <w:rFonts w:cstheme="minorHAnsi"/>
          <w:sz w:val="18"/>
          <w:szCs w:val="18"/>
        </w:rPr>
        <w:t>finasiraju</w:t>
      </w:r>
      <w:proofErr w:type="spellEnd"/>
      <w:r w:rsidRPr="002D090E">
        <w:rPr>
          <w:rFonts w:cstheme="minorHAnsi"/>
          <w:sz w:val="18"/>
          <w:szCs w:val="18"/>
        </w:rPr>
        <w:t xml:space="preserve"> 80% a </w:t>
      </w:r>
      <w:proofErr w:type="spellStart"/>
      <w:r w:rsidRPr="002D090E">
        <w:rPr>
          <w:rFonts w:cstheme="minorHAnsi"/>
          <w:sz w:val="18"/>
          <w:szCs w:val="18"/>
        </w:rPr>
        <w:t>novom</w:t>
      </w:r>
      <w:proofErr w:type="spellEnd"/>
      <w:r w:rsidRPr="002D090E">
        <w:rPr>
          <w:rFonts w:cstheme="minorHAnsi"/>
          <w:sz w:val="18"/>
          <w:szCs w:val="18"/>
        </w:rPr>
        <w:t xml:space="preserve"> </w:t>
      </w:r>
      <w:proofErr w:type="spellStart"/>
      <w:r w:rsidRPr="002D090E">
        <w:rPr>
          <w:rFonts w:cstheme="minorHAnsi"/>
          <w:sz w:val="18"/>
          <w:szCs w:val="18"/>
        </w:rPr>
        <w:t>formulacijom</w:t>
      </w:r>
      <w:proofErr w:type="spellEnd"/>
      <w:r w:rsidRPr="002D090E">
        <w:rPr>
          <w:rFonts w:cstheme="minorHAnsi"/>
          <w:sz w:val="18"/>
          <w:szCs w:val="18"/>
        </w:rPr>
        <w:t xml:space="preserve"> - </w:t>
      </w:r>
      <w:proofErr w:type="spellStart"/>
      <w:r w:rsidRPr="002D090E">
        <w:rPr>
          <w:rFonts w:cstheme="minorHAnsi"/>
          <w:sz w:val="18"/>
          <w:szCs w:val="18"/>
        </w:rPr>
        <w:t>ubačena</w:t>
      </w:r>
      <w:proofErr w:type="spellEnd"/>
      <w:r w:rsidRPr="002D090E">
        <w:rPr>
          <w:rFonts w:cstheme="minorHAnsi"/>
          <w:sz w:val="18"/>
          <w:szCs w:val="18"/>
        </w:rPr>
        <w:t xml:space="preserve"> je </w:t>
      </w:r>
      <w:proofErr w:type="spellStart"/>
      <w:r w:rsidRPr="002D090E">
        <w:rPr>
          <w:rFonts w:cstheme="minorHAnsi"/>
          <w:sz w:val="18"/>
          <w:szCs w:val="18"/>
        </w:rPr>
        <w:t>odrednica</w:t>
      </w:r>
      <w:proofErr w:type="spellEnd"/>
      <w:r w:rsidRPr="002D090E">
        <w:rPr>
          <w:rFonts w:cstheme="minorHAnsi"/>
          <w:sz w:val="18"/>
          <w:szCs w:val="18"/>
        </w:rPr>
        <w:t xml:space="preserve"> DO 80%, </w:t>
      </w:r>
      <w:proofErr w:type="spellStart"/>
      <w:r w:rsidRPr="002D090E">
        <w:rPr>
          <w:rFonts w:cstheme="minorHAnsi"/>
          <w:sz w:val="18"/>
          <w:szCs w:val="18"/>
        </w:rPr>
        <w:t>zapravo</w:t>
      </w:r>
      <w:proofErr w:type="spellEnd"/>
      <w:r w:rsidRPr="002D090E">
        <w:rPr>
          <w:rFonts w:cstheme="minorHAnsi"/>
          <w:sz w:val="18"/>
          <w:szCs w:val="18"/>
        </w:rPr>
        <w:t xml:space="preserve"> je </w:t>
      </w:r>
      <w:proofErr w:type="spellStart"/>
      <w:r w:rsidRPr="002D090E">
        <w:rPr>
          <w:rFonts w:cstheme="minorHAnsi"/>
          <w:sz w:val="18"/>
          <w:szCs w:val="18"/>
        </w:rPr>
        <w:t>otvorena</w:t>
      </w:r>
      <w:proofErr w:type="spellEnd"/>
      <w:r w:rsidRPr="002D090E">
        <w:rPr>
          <w:rFonts w:cstheme="minorHAnsi"/>
          <w:sz w:val="18"/>
          <w:szCs w:val="18"/>
        </w:rPr>
        <w:t xml:space="preserve"> </w:t>
      </w:r>
      <w:proofErr w:type="spellStart"/>
      <w:r w:rsidRPr="002D090E">
        <w:rPr>
          <w:rFonts w:cstheme="minorHAnsi"/>
          <w:sz w:val="18"/>
          <w:szCs w:val="18"/>
        </w:rPr>
        <w:t>mogućnost</w:t>
      </w:r>
      <w:proofErr w:type="spellEnd"/>
      <w:r w:rsidRPr="002D090E">
        <w:rPr>
          <w:rFonts w:cstheme="minorHAnsi"/>
          <w:sz w:val="18"/>
          <w:szCs w:val="18"/>
        </w:rPr>
        <w:t xml:space="preserve"> LS da </w:t>
      </w:r>
      <w:proofErr w:type="spellStart"/>
      <w:r w:rsidRPr="002D090E">
        <w:rPr>
          <w:rFonts w:cstheme="minorHAnsi"/>
          <w:sz w:val="18"/>
          <w:szCs w:val="18"/>
        </w:rPr>
        <w:t>smanje</w:t>
      </w:r>
      <w:proofErr w:type="spellEnd"/>
      <w:r w:rsidRPr="002D090E">
        <w:rPr>
          <w:rFonts w:cstheme="minorHAnsi"/>
          <w:sz w:val="18"/>
          <w:szCs w:val="18"/>
        </w:rPr>
        <w:t xml:space="preserve"> </w:t>
      </w:r>
      <w:proofErr w:type="spellStart"/>
      <w:r w:rsidRPr="002D090E">
        <w:rPr>
          <w:rFonts w:cstheme="minorHAnsi"/>
          <w:sz w:val="18"/>
          <w:szCs w:val="18"/>
        </w:rPr>
        <w:t>svoje</w:t>
      </w:r>
      <w:proofErr w:type="spellEnd"/>
      <w:r w:rsidRPr="002D090E">
        <w:rPr>
          <w:rFonts w:cstheme="minorHAnsi"/>
          <w:sz w:val="18"/>
          <w:szCs w:val="18"/>
        </w:rPr>
        <w:t xml:space="preserve"> </w:t>
      </w:r>
      <w:proofErr w:type="spellStart"/>
      <w:r w:rsidRPr="002D090E">
        <w:rPr>
          <w:rFonts w:cstheme="minorHAnsi"/>
          <w:sz w:val="18"/>
          <w:szCs w:val="18"/>
        </w:rPr>
        <w:t>učešće</w:t>
      </w:r>
      <w:proofErr w:type="spellEnd"/>
      <w:r w:rsidRPr="002D090E">
        <w:rPr>
          <w:rFonts w:cstheme="minorHAnsi"/>
          <w:sz w:val="18"/>
          <w:szCs w:val="18"/>
        </w:rPr>
        <w:t xml:space="preserve"> u </w:t>
      </w:r>
      <w:proofErr w:type="spellStart"/>
      <w:r w:rsidRPr="002D090E">
        <w:rPr>
          <w:rFonts w:cstheme="minorHAnsi"/>
          <w:sz w:val="18"/>
          <w:szCs w:val="18"/>
        </w:rPr>
        <w:t>ceni</w:t>
      </w:r>
      <w:proofErr w:type="spellEnd"/>
      <w:r w:rsidRPr="002D090E">
        <w:rPr>
          <w:rFonts w:cstheme="minorHAnsi"/>
          <w:sz w:val="18"/>
          <w:szCs w:val="18"/>
        </w:rPr>
        <w:t xml:space="preserve">, </w:t>
      </w:r>
      <w:proofErr w:type="spellStart"/>
      <w:r w:rsidRPr="002D090E">
        <w:rPr>
          <w:rFonts w:cstheme="minorHAnsi"/>
          <w:sz w:val="18"/>
          <w:szCs w:val="18"/>
        </w:rPr>
        <w:t>ali</w:t>
      </w:r>
      <w:proofErr w:type="spellEnd"/>
      <w:r w:rsidRPr="002D090E">
        <w:rPr>
          <w:rFonts w:cstheme="minorHAnsi"/>
          <w:sz w:val="18"/>
          <w:szCs w:val="18"/>
        </w:rPr>
        <w:t xml:space="preserve"> za </w:t>
      </w:r>
      <w:proofErr w:type="spellStart"/>
      <w:r w:rsidRPr="002D090E">
        <w:rPr>
          <w:rFonts w:cstheme="minorHAnsi"/>
          <w:sz w:val="18"/>
          <w:szCs w:val="18"/>
        </w:rPr>
        <w:t>sada</w:t>
      </w:r>
      <w:proofErr w:type="spellEnd"/>
      <w:r w:rsidRPr="002D090E">
        <w:rPr>
          <w:rFonts w:cstheme="minorHAnsi"/>
          <w:sz w:val="18"/>
          <w:szCs w:val="18"/>
        </w:rPr>
        <w:t xml:space="preserve"> </w:t>
      </w:r>
      <w:proofErr w:type="spellStart"/>
      <w:r w:rsidRPr="002D090E">
        <w:rPr>
          <w:rFonts w:cstheme="minorHAnsi"/>
          <w:sz w:val="18"/>
          <w:szCs w:val="18"/>
        </w:rPr>
        <w:t>nema</w:t>
      </w:r>
      <w:proofErr w:type="spellEnd"/>
      <w:r w:rsidRPr="002D090E">
        <w:rPr>
          <w:rFonts w:cstheme="minorHAnsi"/>
          <w:sz w:val="18"/>
          <w:szCs w:val="18"/>
        </w:rPr>
        <w:t xml:space="preserve"> </w:t>
      </w:r>
      <w:proofErr w:type="spellStart"/>
      <w:r w:rsidRPr="002D090E">
        <w:rPr>
          <w:rFonts w:cstheme="minorHAnsi"/>
          <w:sz w:val="18"/>
          <w:szCs w:val="18"/>
        </w:rPr>
        <w:t>naznaka</w:t>
      </w:r>
      <w:proofErr w:type="spellEnd"/>
      <w:r w:rsidRPr="002D090E">
        <w:rPr>
          <w:rFonts w:cstheme="minorHAnsi"/>
          <w:sz w:val="18"/>
          <w:szCs w:val="18"/>
        </w:rPr>
        <w:t xml:space="preserve"> da se u </w:t>
      </w:r>
      <w:proofErr w:type="spellStart"/>
      <w:r w:rsidRPr="002D090E">
        <w:rPr>
          <w:rFonts w:cstheme="minorHAnsi"/>
          <w:sz w:val="18"/>
          <w:szCs w:val="18"/>
        </w:rPr>
        <w:t>praksi</w:t>
      </w:r>
      <w:proofErr w:type="spellEnd"/>
      <w:r w:rsidRPr="002D090E">
        <w:rPr>
          <w:rFonts w:cstheme="minorHAnsi"/>
          <w:sz w:val="18"/>
          <w:szCs w:val="18"/>
        </w:rPr>
        <w:t xml:space="preserve"> to </w:t>
      </w:r>
      <w:proofErr w:type="spellStart"/>
      <w:r w:rsidRPr="002D090E">
        <w:rPr>
          <w:rFonts w:cstheme="minorHAnsi"/>
          <w:sz w:val="18"/>
          <w:szCs w:val="18"/>
        </w:rPr>
        <w:t>dešava</w:t>
      </w:r>
      <w:proofErr w:type="spellEnd"/>
      <w:r w:rsidRPr="002D090E">
        <w:rPr>
          <w:rFonts w:cstheme="minorHAnsi"/>
          <w:sz w:val="18"/>
          <w:szCs w:val="18"/>
        </w:rPr>
        <w:t xml:space="preserve">. </w:t>
      </w:r>
    </w:p>
  </w:footnote>
  <w:footnote w:id="4">
    <w:p w14:paraId="3EED1BE5" w14:textId="4B522246" w:rsidR="00480DA3" w:rsidRPr="002D090E" w:rsidRDefault="00480DA3">
      <w:pPr>
        <w:pStyle w:val="FootnoteText"/>
        <w:rPr>
          <w:rFonts w:cstheme="minorHAnsi"/>
          <w:sz w:val="18"/>
          <w:szCs w:val="18"/>
          <w:lang w:val="sr-Latn-RS"/>
        </w:rPr>
      </w:pPr>
      <w:r w:rsidRPr="002D090E">
        <w:rPr>
          <w:rStyle w:val="FootnoteReference"/>
          <w:rFonts w:cstheme="minorHAnsi"/>
          <w:sz w:val="18"/>
          <w:szCs w:val="18"/>
        </w:rPr>
        <w:footnoteRef/>
      </w:r>
      <w:r w:rsidRPr="002D090E">
        <w:rPr>
          <w:rFonts w:cstheme="minorHAnsi"/>
          <w:sz w:val="18"/>
          <w:szCs w:val="18"/>
        </w:rPr>
        <w:t xml:space="preserve"> </w:t>
      </w:r>
      <w:proofErr w:type="spellStart"/>
      <w:r w:rsidRPr="002D090E">
        <w:rPr>
          <w:rFonts w:cstheme="minorHAnsi"/>
          <w:sz w:val="18"/>
          <w:szCs w:val="18"/>
        </w:rPr>
        <w:t>Član</w:t>
      </w:r>
      <w:proofErr w:type="spellEnd"/>
      <w:r w:rsidRPr="002D090E">
        <w:rPr>
          <w:rFonts w:cstheme="minorHAnsi"/>
          <w:sz w:val="18"/>
          <w:szCs w:val="18"/>
        </w:rPr>
        <w:t xml:space="preserve"> 50. </w:t>
      </w:r>
      <w:proofErr w:type="spellStart"/>
      <w:r w:rsidRPr="002D090E">
        <w:rPr>
          <w:rFonts w:cstheme="minorHAnsi"/>
          <w:sz w:val="18"/>
          <w:szCs w:val="18"/>
        </w:rPr>
        <w:t>Zakona</w:t>
      </w:r>
      <w:proofErr w:type="spellEnd"/>
      <w:r w:rsidRPr="002D090E">
        <w:rPr>
          <w:rFonts w:cstheme="minorHAnsi"/>
          <w:sz w:val="18"/>
          <w:szCs w:val="18"/>
        </w:rPr>
        <w:t xml:space="preserve"> o </w:t>
      </w:r>
      <w:proofErr w:type="spellStart"/>
      <w:r w:rsidRPr="002D090E">
        <w:rPr>
          <w:rFonts w:cstheme="minorHAnsi"/>
          <w:sz w:val="18"/>
          <w:szCs w:val="18"/>
        </w:rPr>
        <w:t>predškolskom</w:t>
      </w:r>
      <w:proofErr w:type="spellEnd"/>
      <w:r w:rsidRPr="002D090E">
        <w:rPr>
          <w:rFonts w:cstheme="minorHAnsi"/>
          <w:sz w:val="18"/>
          <w:szCs w:val="18"/>
        </w:rPr>
        <w:t xml:space="preserve"> </w:t>
      </w:r>
      <w:proofErr w:type="spellStart"/>
      <w:r w:rsidRPr="002D090E">
        <w:rPr>
          <w:rFonts w:cstheme="minorHAnsi"/>
          <w:sz w:val="18"/>
          <w:szCs w:val="18"/>
        </w:rPr>
        <w:t>vaspitanju</w:t>
      </w:r>
      <w:proofErr w:type="spellEnd"/>
      <w:r w:rsidRPr="002D090E">
        <w:rPr>
          <w:rFonts w:cstheme="minorHAnsi"/>
          <w:sz w:val="18"/>
          <w:szCs w:val="18"/>
        </w:rPr>
        <w:t xml:space="preserve"> </w:t>
      </w:r>
      <w:proofErr w:type="spellStart"/>
      <w:r w:rsidRPr="002D090E">
        <w:rPr>
          <w:rFonts w:cstheme="minorHAnsi"/>
          <w:sz w:val="18"/>
          <w:szCs w:val="18"/>
        </w:rPr>
        <w:t>i</w:t>
      </w:r>
      <w:proofErr w:type="spellEnd"/>
      <w:r w:rsidRPr="002D090E">
        <w:rPr>
          <w:rFonts w:cstheme="minorHAnsi"/>
          <w:sz w:val="18"/>
          <w:szCs w:val="18"/>
        </w:rPr>
        <w:t xml:space="preserve"> </w:t>
      </w:r>
      <w:proofErr w:type="spellStart"/>
      <w:r w:rsidRPr="002D090E">
        <w:rPr>
          <w:rFonts w:cstheme="minorHAnsi"/>
          <w:sz w:val="18"/>
          <w:szCs w:val="18"/>
        </w:rPr>
        <w:t>obrazovanju</w:t>
      </w:r>
      <w:proofErr w:type="spellEnd"/>
    </w:p>
  </w:footnote>
  <w:footnote w:id="5">
    <w:p w14:paraId="038FDF80" w14:textId="77777777" w:rsidR="00100E03" w:rsidRPr="002D090E" w:rsidRDefault="00100E03" w:rsidP="00100E03">
      <w:pPr>
        <w:pStyle w:val="FootnoteText"/>
        <w:rPr>
          <w:rFonts w:cstheme="minorHAnsi"/>
          <w:sz w:val="18"/>
          <w:szCs w:val="18"/>
          <w:lang w:val="hr-HR"/>
        </w:rPr>
      </w:pPr>
      <w:r w:rsidRPr="002D090E">
        <w:rPr>
          <w:rStyle w:val="FootnoteReference"/>
          <w:rFonts w:cstheme="minorHAnsi"/>
          <w:sz w:val="18"/>
          <w:szCs w:val="18"/>
        </w:rPr>
        <w:footnoteRef/>
      </w:r>
      <w:r w:rsidRPr="002D090E">
        <w:rPr>
          <w:rFonts w:cstheme="minorHAnsi"/>
          <w:sz w:val="18"/>
          <w:szCs w:val="18"/>
        </w:rPr>
        <w:t xml:space="preserve"> </w:t>
      </w:r>
      <w:proofErr w:type="spellStart"/>
      <w:r w:rsidRPr="002D090E">
        <w:rPr>
          <w:rFonts w:cstheme="minorHAnsi"/>
          <w:sz w:val="18"/>
          <w:szCs w:val="18"/>
        </w:rPr>
        <w:t>Službeni</w:t>
      </w:r>
      <w:proofErr w:type="spellEnd"/>
      <w:r w:rsidRPr="002D090E">
        <w:rPr>
          <w:rFonts w:cstheme="minorHAnsi"/>
          <w:sz w:val="18"/>
          <w:szCs w:val="18"/>
        </w:rPr>
        <w:t xml:space="preserve"> </w:t>
      </w:r>
      <w:proofErr w:type="spellStart"/>
      <w:r w:rsidRPr="002D090E">
        <w:rPr>
          <w:rFonts w:cstheme="minorHAnsi"/>
          <w:sz w:val="18"/>
          <w:szCs w:val="18"/>
        </w:rPr>
        <w:t>glasnik</w:t>
      </w:r>
      <w:proofErr w:type="spellEnd"/>
      <w:r w:rsidRPr="002D090E">
        <w:rPr>
          <w:rFonts w:cstheme="minorHAnsi"/>
          <w:sz w:val="18"/>
          <w:szCs w:val="18"/>
        </w:rPr>
        <w:t xml:space="preserve"> RS", br. 73 od 31. </w:t>
      </w:r>
      <w:proofErr w:type="spellStart"/>
      <w:r w:rsidRPr="002D090E">
        <w:rPr>
          <w:rFonts w:cstheme="minorHAnsi"/>
          <w:sz w:val="18"/>
          <w:szCs w:val="18"/>
        </w:rPr>
        <w:t>avgusta</w:t>
      </w:r>
      <w:proofErr w:type="spellEnd"/>
      <w:r w:rsidRPr="002D090E">
        <w:rPr>
          <w:rFonts w:cstheme="minorHAnsi"/>
          <w:sz w:val="18"/>
          <w:szCs w:val="18"/>
        </w:rPr>
        <w:t xml:space="preserve"> 2016, 45 od 13. </w:t>
      </w:r>
      <w:proofErr w:type="spellStart"/>
      <w:r w:rsidRPr="002D090E">
        <w:rPr>
          <w:rFonts w:cstheme="minorHAnsi"/>
          <w:sz w:val="18"/>
          <w:szCs w:val="18"/>
        </w:rPr>
        <w:t>juna</w:t>
      </w:r>
      <w:proofErr w:type="spellEnd"/>
      <w:r w:rsidRPr="002D090E">
        <w:rPr>
          <w:rFonts w:cstheme="minorHAnsi"/>
          <w:sz w:val="18"/>
          <w:szCs w:val="18"/>
        </w:rPr>
        <w:t xml:space="preserve"> 2018.</w:t>
      </w:r>
    </w:p>
  </w:footnote>
  <w:footnote w:id="6">
    <w:p w14:paraId="417DDB4F" w14:textId="77777777" w:rsidR="00100E03" w:rsidRPr="002D090E" w:rsidRDefault="00100E03" w:rsidP="00100E03">
      <w:pPr>
        <w:pStyle w:val="FootnoteText"/>
        <w:rPr>
          <w:rFonts w:cstheme="minorHAnsi"/>
          <w:sz w:val="18"/>
          <w:szCs w:val="18"/>
          <w:lang w:val="hr-HR"/>
        </w:rPr>
      </w:pPr>
      <w:r w:rsidRPr="002D090E">
        <w:rPr>
          <w:rStyle w:val="FootnoteReference"/>
          <w:rFonts w:cstheme="minorHAnsi"/>
          <w:sz w:val="18"/>
          <w:szCs w:val="18"/>
        </w:rPr>
        <w:footnoteRef/>
      </w:r>
      <w:r w:rsidRPr="002D090E">
        <w:rPr>
          <w:rFonts w:cstheme="minorHAnsi"/>
          <w:sz w:val="18"/>
          <w:szCs w:val="18"/>
        </w:rPr>
        <w:t xml:space="preserve"> "</w:t>
      </w:r>
      <w:proofErr w:type="spellStart"/>
      <w:r w:rsidRPr="002D090E">
        <w:rPr>
          <w:rFonts w:cstheme="minorHAnsi"/>
          <w:sz w:val="18"/>
          <w:szCs w:val="18"/>
        </w:rPr>
        <w:t>Službeni</w:t>
      </w:r>
      <w:proofErr w:type="spellEnd"/>
      <w:r w:rsidRPr="002D090E">
        <w:rPr>
          <w:rFonts w:cstheme="minorHAnsi"/>
          <w:sz w:val="18"/>
          <w:szCs w:val="18"/>
        </w:rPr>
        <w:t xml:space="preserve"> </w:t>
      </w:r>
      <w:proofErr w:type="spellStart"/>
      <w:r w:rsidRPr="002D090E">
        <w:rPr>
          <w:rFonts w:cstheme="minorHAnsi"/>
          <w:sz w:val="18"/>
          <w:szCs w:val="18"/>
        </w:rPr>
        <w:t>glasnik</w:t>
      </w:r>
      <w:proofErr w:type="spellEnd"/>
      <w:r w:rsidRPr="002D090E">
        <w:rPr>
          <w:rFonts w:cstheme="minorHAnsi"/>
          <w:sz w:val="18"/>
          <w:szCs w:val="18"/>
        </w:rPr>
        <w:t xml:space="preserve"> RS", br. 72 od 19. </w:t>
      </w:r>
      <w:proofErr w:type="spellStart"/>
      <w:r w:rsidRPr="002D090E">
        <w:rPr>
          <w:rFonts w:cstheme="minorHAnsi"/>
          <w:sz w:val="18"/>
          <w:szCs w:val="18"/>
        </w:rPr>
        <w:t>avgusta</w:t>
      </w:r>
      <w:proofErr w:type="spellEnd"/>
      <w:r w:rsidRPr="002D090E">
        <w:rPr>
          <w:rFonts w:cstheme="minorHAnsi"/>
          <w:sz w:val="18"/>
          <w:szCs w:val="18"/>
        </w:rPr>
        <w:t xml:space="preserve"> 2015, 84 od 6. </w:t>
      </w:r>
      <w:proofErr w:type="spellStart"/>
      <w:r w:rsidRPr="002D090E">
        <w:rPr>
          <w:rFonts w:cstheme="minorHAnsi"/>
          <w:sz w:val="18"/>
          <w:szCs w:val="18"/>
        </w:rPr>
        <w:t>oktobra</w:t>
      </w:r>
      <w:proofErr w:type="spellEnd"/>
      <w:r w:rsidRPr="002D090E">
        <w:rPr>
          <w:rFonts w:cstheme="minorHAnsi"/>
          <w:sz w:val="18"/>
          <w:szCs w:val="18"/>
        </w:rPr>
        <w:t xml:space="preserve"> 2015, 73 od 31. </w:t>
      </w:r>
      <w:proofErr w:type="spellStart"/>
      <w:r w:rsidRPr="002D090E">
        <w:rPr>
          <w:rFonts w:cstheme="minorHAnsi"/>
          <w:sz w:val="18"/>
          <w:szCs w:val="18"/>
        </w:rPr>
        <w:t>avgusta</w:t>
      </w:r>
      <w:proofErr w:type="spellEnd"/>
      <w:r w:rsidRPr="002D090E">
        <w:rPr>
          <w:rFonts w:cstheme="minorHAnsi"/>
          <w:sz w:val="18"/>
          <w:szCs w:val="18"/>
        </w:rPr>
        <w:t xml:space="preserve"> 2016, 45 od 13. </w:t>
      </w:r>
      <w:proofErr w:type="spellStart"/>
      <w:r w:rsidRPr="002D090E">
        <w:rPr>
          <w:rFonts w:cstheme="minorHAnsi"/>
          <w:sz w:val="18"/>
          <w:szCs w:val="18"/>
        </w:rPr>
        <w:t>juna</w:t>
      </w:r>
      <w:proofErr w:type="spellEnd"/>
      <w:r w:rsidRPr="002D090E">
        <w:rPr>
          <w:rFonts w:cstheme="minorHAnsi"/>
          <w:sz w:val="18"/>
          <w:szCs w:val="18"/>
        </w:rPr>
        <w:t xml:space="preserve"> 2018.</w:t>
      </w:r>
    </w:p>
  </w:footnote>
  <w:footnote w:id="7">
    <w:p w14:paraId="7685638D" w14:textId="77777777" w:rsidR="00F05400" w:rsidRPr="002D090E" w:rsidRDefault="00F05400" w:rsidP="00B27536">
      <w:pPr>
        <w:spacing w:before="120" w:after="120"/>
        <w:jc w:val="both"/>
        <w:rPr>
          <w:rFonts w:asciiTheme="minorHAnsi" w:hAnsiTheme="minorHAnsi" w:cstheme="minorHAnsi"/>
          <w:sz w:val="18"/>
          <w:szCs w:val="18"/>
        </w:rPr>
      </w:pPr>
      <w:r w:rsidRPr="002D090E">
        <w:rPr>
          <w:rStyle w:val="FootnoteReference"/>
          <w:rFonts w:asciiTheme="minorHAnsi" w:hAnsiTheme="minorHAnsi" w:cstheme="minorHAnsi"/>
          <w:sz w:val="18"/>
          <w:szCs w:val="18"/>
        </w:rPr>
        <w:footnoteRef/>
      </w:r>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Član</w:t>
      </w:r>
      <w:proofErr w:type="spellEnd"/>
      <w:r w:rsidRPr="002D090E">
        <w:rPr>
          <w:rFonts w:asciiTheme="minorHAnsi" w:hAnsiTheme="minorHAnsi" w:cstheme="minorHAnsi"/>
          <w:sz w:val="18"/>
          <w:szCs w:val="18"/>
        </w:rPr>
        <w:t xml:space="preserve"> 77.</w:t>
      </w:r>
      <w:r w:rsidRPr="002D090E">
        <w:rPr>
          <w:rFonts w:asciiTheme="minorHAnsi" w:hAnsiTheme="minorHAnsi" w:cstheme="minorHAnsi"/>
          <w:sz w:val="18"/>
          <w:szCs w:val="18"/>
          <w:lang w:val="sr-Cyrl-RS"/>
        </w:rPr>
        <w:t xml:space="preserve"> </w:t>
      </w:r>
      <w:r w:rsidRPr="002D090E">
        <w:rPr>
          <w:rFonts w:asciiTheme="minorHAnsi" w:hAnsiTheme="minorHAnsi" w:cstheme="minorHAnsi"/>
          <w:sz w:val="18"/>
          <w:szCs w:val="18"/>
          <w:lang w:val="sr-Latn-RS"/>
        </w:rPr>
        <w:t>ZOSOV bliže uređuje rad Interresorne komisije (IRK) iz stava 2 člana 189.</w:t>
      </w:r>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Interresornu</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komisiju</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obrazuje</w:t>
      </w:r>
      <w:proofErr w:type="spellEnd"/>
      <w:r w:rsidRPr="002D090E">
        <w:rPr>
          <w:rFonts w:asciiTheme="minorHAnsi" w:hAnsiTheme="minorHAnsi" w:cstheme="minorHAnsi"/>
          <w:sz w:val="18"/>
          <w:szCs w:val="18"/>
        </w:rPr>
        <w:t xml:space="preserve"> organ JLS </w:t>
      </w:r>
      <w:proofErr w:type="spellStart"/>
      <w:r w:rsidRPr="002D090E">
        <w:rPr>
          <w:rFonts w:asciiTheme="minorHAnsi" w:hAnsiTheme="minorHAnsi" w:cstheme="minorHAnsi"/>
          <w:sz w:val="18"/>
          <w:szCs w:val="18"/>
        </w:rPr>
        <w:t>nadležan</w:t>
      </w:r>
      <w:proofErr w:type="spellEnd"/>
      <w:r w:rsidRPr="002D090E">
        <w:rPr>
          <w:rFonts w:asciiTheme="minorHAnsi" w:hAnsiTheme="minorHAnsi" w:cstheme="minorHAnsi"/>
          <w:sz w:val="18"/>
          <w:szCs w:val="18"/>
        </w:rPr>
        <w:t xml:space="preserve"> za </w:t>
      </w:r>
      <w:proofErr w:type="spellStart"/>
      <w:r w:rsidRPr="002D090E">
        <w:rPr>
          <w:rFonts w:asciiTheme="minorHAnsi" w:hAnsiTheme="minorHAnsi" w:cstheme="minorHAnsi"/>
          <w:sz w:val="18"/>
          <w:szCs w:val="18"/>
        </w:rPr>
        <w:t>poslove</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društvenih</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delatnosti</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na</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osnovu</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sporazuma</w:t>
      </w:r>
      <w:proofErr w:type="spellEnd"/>
      <w:r w:rsidRPr="002D090E">
        <w:rPr>
          <w:rFonts w:asciiTheme="minorHAnsi" w:hAnsiTheme="minorHAnsi" w:cstheme="minorHAnsi"/>
          <w:sz w:val="18"/>
          <w:szCs w:val="18"/>
        </w:rPr>
        <w:t xml:space="preserve"> o </w:t>
      </w:r>
      <w:proofErr w:type="spellStart"/>
      <w:r w:rsidRPr="002D090E">
        <w:rPr>
          <w:rFonts w:asciiTheme="minorHAnsi" w:hAnsiTheme="minorHAnsi" w:cstheme="minorHAnsi"/>
          <w:sz w:val="18"/>
          <w:szCs w:val="18"/>
        </w:rPr>
        <w:t>saradnji</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između</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ustanova</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sistema</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obrazovanja</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državne</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uprave</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i</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lokalne</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samouprave</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socijalne</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zaštite</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i</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zdravlja</w:t>
      </w:r>
      <w:proofErr w:type="spellEnd"/>
      <w:r w:rsidRPr="002D090E">
        <w:rPr>
          <w:rFonts w:asciiTheme="minorHAnsi" w:hAnsiTheme="minorHAnsi" w:cstheme="minorHAnsi"/>
          <w:sz w:val="18"/>
          <w:szCs w:val="18"/>
        </w:rPr>
        <w:t xml:space="preserve">. JLS </w:t>
      </w:r>
      <w:proofErr w:type="spellStart"/>
      <w:r w:rsidRPr="002D090E">
        <w:rPr>
          <w:rFonts w:asciiTheme="minorHAnsi" w:hAnsiTheme="minorHAnsi" w:cstheme="minorHAnsi"/>
          <w:sz w:val="18"/>
          <w:szCs w:val="18"/>
        </w:rPr>
        <w:t>određuje</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sedište</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rada</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obezbeđuje</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i</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isplaćuje</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naknade</w:t>
      </w:r>
      <w:proofErr w:type="spellEnd"/>
      <w:r w:rsidRPr="002D090E">
        <w:rPr>
          <w:rFonts w:asciiTheme="minorHAnsi" w:hAnsiTheme="minorHAnsi" w:cstheme="minorHAnsi"/>
          <w:sz w:val="18"/>
          <w:szCs w:val="18"/>
        </w:rPr>
        <w:t xml:space="preserve"> za rad </w:t>
      </w:r>
      <w:proofErr w:type="spellStart"/>
      <w:r w:rsidRPr="002D090E">
        <w:rPr>
          <w:rFonts w:asciiTheme="minorHAnsi" w:hAnsiTheme="minorHAnsi" w:cstheme="minorHAnsi"/>
          <w:sz w:val="18"/>
          <w:szCs w:val="18"/>
        </w:rPr>
        <w:t>članova</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obezbeđuje</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tehničku</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i</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drugu</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podršku</w:t>
      </w:r>
      <w:proofErr w:type="spellEnd"/>
      <w:r w:rsidRPr="002D090E">
        <w:rPr>
          <w:rFonts w:asciiTheme="minorHAnsi" w:hAnsiTheme="minorHAnsi" w:cstheme="minorHAnsi"/>
          <w:sz w:val="18"/>
          <w:szCs w:val="18"/>
        </w:rPr>
        <w:t xml:space="preserve"> za </w:t>
      </w:r>
      <w:proofErr w:type="spellStart"/>
      <w:r w:rsidRPr="002D090E">
        <w:rPr>
          <w:rFonts w:asciiTheme="minorHAnsi" w:hAnsiTheme="minorHAnsi" w:cstheme="minorHAnsi"/>
          <w:sz w:val="18"/>
          <w:szCs w:val="18"/>
        </w:rPr>
        <w:t>njen</w:t>
      </w:r>
      <w:proofErr w:type="spellEnd"/>
      <w:r w:rsidRPr="002D090E">
        <w:rPr>
          <w:rFonts w:asciiTheme="minorHAnsi" w:hAnsiTheme="minorHAnsi" w:cstheme="minorHAnsi"/>
          <w:sz w:val="18"/>
          <w:szCs w:val="18"/>
        </w:rPr>
        <w:t xml:space="preserve"> rad, </w:t>
      </w:r>
      <w:proofErr w:type="spellStart"/>
      <w:r w:rsidRPr="002D090E">
        <w:rPr>
          <w:rFonts w:asciiTheme="minorHAnsi" w:hAnsiTheme="minorHAnsi" w:cstheme="minorHAnsi"/>
          <w:sz w:val="18"/>
          <w:szCs w:val="18"/>
        </w:rPr>
        <w:t>obezbeđuje</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sredstva</w:t>
      </w:r>
      <w:proofErr w:type="spellEnd"/>
      <w:r w:rsidRPr="002D090E">
        <w:rPr>
          <w:rFonts w:asciiTheme="minorHAnsi" w:hAnsiTheme="minorHAnsi" w:cstheme="minorHAnsi"/>
          <w:sz w:val="18"/>
          <w:szCs w:val="18"/>
        </w:rPr>
        <w:t xml:space="preserve"> za </w:t>
      </w:r>
      <w:proofErr w:type="spellStart"/>
      <w:r w:rsidRPr="002D090E">
        <w:rPr>
          <w:rFonts w:asciiTheme="minorHAnsi" w:hAnsiTheme="minorHAnsi" w:cstheme="minorHAnsi"/>
          <w:sz w:val="18"/>
          <w:szCs w:val="18"/>
        </w:rPr>
        <w:t>finansiranje</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podrške</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preporučene</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od</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strane</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Interresorne</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komisije</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obezbeđuje</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arhiviranje</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i</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čuvanje</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dokumentacije</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prikuplja</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izveštaje</w:t>
      </w:r>
      <w:proofErr w:type="spellEnd"/>
      <w:r w:rsidRPr="002D090E">
        <w:rPr>
          <w:rFonts w:asciiTheme="minorHAnsi" w:hAnsiTheme="minorHAnsi" w:cstheme="minorHAnsi"/>
          <w:sz w:val="18"/>
          <w:szCs w:val="18"/>
        </w:rPr>
        <w:t xml:space="preserve"> o </w:t>
      </w:r>
      <w:proofErr w:type="spellStart"/>
      <w:r w:rsidRPr="002D090E">
        <w:rPr>
          <w:rFonts w:asciiTheme="minorHAnsi" w:hAnsiTheme="minorHAnsi" w:cstheme="minorHAnsi"/>
          <w:sz w:val="18"/>
          <w:szCs w:val="18"/>
        </w:rPr>
        <w:t>radu</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inetrresorne</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komisije</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predloženoj</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podršci</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i</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njenim</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efektima</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najmanje</w:t>
      </w:r>
      <w:proofErr w:type="spellEnd"/>
      <w:r w:rsidRPr="002D090E">
        <w:rPr>
          <w:rFonts w:asciiTheme="minorHAnsi" w:hAnsiTheme="minorHAnsi" w:cstheme="minorHAnsi"/>
          <w:sz w:val="18"/>
          <w:szCs w:val="18"/>
        </w:rPr>
        <w:t xml:space="preserve"> </w:t>
      </w:r>
      <w:proofErr w:type="spellStart"/>
      <w:r w:rsidRPr="002D090E">
        <w:rPr>
          <w:rFonts w:asciiTheme="minorHAnsi" w:hAnsiTheme="minorHAnsi" w:cstheme="minorHAnsi"/>
          <w:sz w:val="18"/>
          <w:szCs w:val="18"/>
        </w:rPr>
        <w:t>dva</w:t>
      </w:r>
      <w:proofErr w:type="spellEnd"/>
      <w:r w:rsidRPr="002D090E">
        <w:rPr>
          <w:rFonts w:asciiTheme="minorHAnsi" w:hAnsiTheme="minorHAnsi" w:cstheme="minorHAnsi"/>
          <w:sz w:val="18"/>
          <w:szCs w:val="18"/>
        </w:rPr>
        <w:t xml:space="preserve"> puta </w:t>
      </w:r>
      <w:proofErr w:type="spellStart"/>
      <w:r w:rsidRPr="002D090E">
        <w:rPr>
          <w:rFonts w:asciiTheme="minorHAnsi" w:hAnsiTheme="minorHAnsi" w:cstheme="minorHAnsi"/>
          <w:sz w:val="18"/>
          <w:szCs w:val="18"/>
        </w:rPr>
        <w:t>godišnje</w:t>
      </w:r>
      <w:proofErr w:type="spellEnd"/>
      <w:r w:rsidRPr="002D090E">
        <w:rPr>
          <w:rFonts w:asciiTheme="minorHAnsi" w:hAnsiTheme="minorHAnsi" w:cstheme="minorHAnsi"/>
          <w:sz w:val="18"/>
          <w:szCs w:val="18"/>
        </w:rPr>
        <w:t>.</w:t>
      </w:r>
      <w:r w:rsidRPr="002D090E">
        <w:rPr>
          <w:rStyle w:val="FootnoteReference"/>
          <w:rFonts w:asciiTheme="minorHAnsi" w:hAnsiTheme="minorHAnsi" w:cstheme="minorHAnsi"/>
          <w:sz w:val="18"/>
          <w:szCs w:val="18"/>
        </w:rPr>
        <w:footnoteRef/>
      </w:r>
    </w:p>
  </w:footnote>
  <w:footnote w:id="8">
    <w:p w14:paraId="764908EA" w14:textId="77777777" w:rsidR="00F05400" w:rsidRPr="002D090E" w:rsidRDefault="00F05400" w:rsidP="00B27536">
      <w:pPr>
        <w:pStyle w:val="FootnoteText"/>
        <w:spacing w:after="120"/>
        <w:jc w:val="both"/>
        <w:rPr>
          <w:rFonts w:cstheme="minorHAnsi"/>
          <w:sz w:val="18"/>
          <w:szCs w:val="18"/>
          <w:lang w:val="hr-HR"/>
        </w:rPr>
      </w:pPr>
      <w:r w:rsidRPr="002D090E">
        <w:rPr>
          <w:rStyle w:val="FootnoteReference"/>
          <w:rFonts w:cstheme="minorHAnsi"/>
          <w:sz w:val="18"/>
          <w:szCs w:val="18"/>
        </w:rPr>
        <w:footnoteRef/>
      </w:r>
      <w:r w:rsidRPr="002D090E">
        <w:rPr>
          <w:rFonts w:cstheme="minorHAnsi"/>
          <w:sz w:val="18"/>
          <w:szCs w:val="18"/>
        </w:rPr>
        <w:t xml:space="preserve"> PRAVILNIК o </w:t>
      </w:r>
      <w:proofErr w:type="spellStart"/>
      <w:r w:rsidRPr="002D090E">
        <w:rPr>
          <w:rFonts w:cstheme="minorHAnsi"/>
          <w:sz w:val="18"/>
          <w:szCs w:val="18"/>
        </w:rPr>
        <w:t>dodatnoj</w:t>
      </w:r>
      <w:proofErr w:type="spellEnd"/>
      <w:r w:rsidRPr="002D090E">
        <w:rPr>
          <w:rFonts w:cstheme="minorHAnsi"/>
          <w:sz w:val="18"/>
          <w:szCs w:val="18"/>
        </w:rPr>
        <w:t xml:space="preserve"> </w:t>
      </w:r>
      <w:proofErr w:type="spellStart"/>
      <w:r w:rsidRPr="002D090E">
        <w:rPr>
          <w:rFonts w:cstheme="minorHAnsi"/>
          <w:sz w:val="18"/>
          <w:szCs w:val="18"/>
        </w:rPr>
        <w:t>obrazovnoj</w:t>
      </w:r>
      <w:proofErr w:type="spellEnd"/>
      <w:r w:rsidRPr="002D090E">
        <w:rPr>
          <w:rFonts w:cstheme="minorHAnsi"/>
          <w:sz w:val="18"/>
          <w:szCs w:val="18"/>
        </w:rPr>
        <w:t xml:space="preserve">, </w:t>
      </w:r>
      <w:proofErr w:type="spellStart"/>
      <w:r w:rsidRPr="002D090E">
        <w:rPr>
          <w:rFonts w:cstheme="minorHAnsi"/>
          <w:sz w:val="18"/>
          <w:szCs w:val="18"/>
        </w:rPr>
        <w:t>zdravstvenoj</w:t>
      </w:r>
      <w:proofErr w:type="spellEnd"/>
      <w:r w:rsidRPr="002D090E">
        <w:rPr>
          <w:rFonts w:cstheme="minorHAnsi"/>
          <w:sz w:val="18"/>
          <w:szCs w:val="18"/>
        </w:rPr>
        <w:t xml:space="preserve"> </w:t>
      </w:r>
      <w:proofErr w:type="spellStart"/>
      <w:r w:rsidRPr="002D090E">
        <w:rPr>
          <w:rFonts w:cstheme="minorHAnsi"/>
          <w:sz w:val="18"/>
          <w:szCs w:val="18"/>
        </w:rPr>
        <w:t>i</w:t>
      </w:r>
      <w:proofErr w:type="spellEnd"/>
      <w:r w:rsidRPr="002D090E">
        <w:rPr>
          <w:rFonts w:cstheme="minorHAnsi"/>
          <w:sz w:val="18"/>
          <w:szCs w:val="18"/>
        </w:rPr>
        <w:t xml:space="preserve"> </w:t>
      </w:r>
      <w:proofErr w:type="spellStart"/>
      <w:r w:rsidRPr="002D090E">
        <w:rPr>
          <w:rFonts w:cstheme="minorHAnsi"/>
          <w:sz w:val="18"/>
          <w:szCs w:val="18"/>
        </w:rPr>
        <w:t>socijalnoj</w:t>
      </w:r>
      <w:proofErr w:type="spellEnd"/>
      <w:r w:rsidRPr="002D090E">
        <w:rPr>
          <w:rFonts w:cstheme="minorHAnsi"/>
          <w:sz w:val="18"/>
          <w:szCs w:val="18"/>
        </w:rPr>
        <w:t xml:space="preserve"> </w:t>
      </w:r>
      <w:proofErr w:type="spellStart"/>
      <w:r w:rsidRPr="002D090E">
        <w:rPr>
          <w:rFonts w:cstheme="minorHAnsi"/>
          <w:sz w:val="18"/>
          <w:szCs w:val="18"/>
        </w:rPr>
        <w:t>podršci</w:t>
      </w:r>
      <w:proofErr w:type="spellEnd"/>
      <w:r w:rsidRPr="002D090E">
        <w:rPr>
          <w:rFonts w:cstheme="minorHAnsi"/>
          <w:sz w:val="18"/>
          <w:szCs w:val="18"/>
        </w:rPr>
        <w:t xml:space="preserve"> </w:t>
      </w:r>
      <w:proofErr w:type="spellStart"/>
      <w:r w:rsidRPr="002D090E">
        <w:rPr>
          <w:rFonts w:cstheme="minorHAnsi"/>
          <w:sz w:val="18"/>
          <w:szCs w:val="18"/>
        </w:rPr>
        <w:t>detetu</w:t>
      </w:r>
      <w:proofErr w:type="spellEnd"/>
      <w:r w:rsidRPr="002D090E">
        <w:rPr>
          <w:rFonts w:cstheme="minorHAnsi"/>
          <w:sz w:val="18"/>
          <w:szCs w:val="18"/>
        </w:rPr>
        <w:t xml:space="preserve">, </w:t>
      </w:r>
      <w:proofErr w:type="spellStart"/>
      <w:r w:rsidRPr="002D090E">
        <w:rPr>
          <w:rFonts w:cstheme="minorHAnsi"/>
          <w:sz w:val="18"/>
          <w:szCs w:val="18"/>
        </w:rPr>
        <w:t>učeniku</w:t>
      </w:r>
      <w:proofErr w:type="spellEnd"/>
      <w:r w:rsidRPr="002D090E">
        <w:rPr>
          <w:rFonts w:cstheme="minorHAnsi"/>
          <w:sz w:val="18"/>
          <w:szCs w:val="18"/>
        </w:rPr>
        <w:t xml:space="preserve"> </w:t>
      </w:r>
      <w:proofErr w:type="spellStart"/>
      <w:r w:rsidRPr="002D090E">
        <w:rPr>
          <w:rFonts w:cstheme="minorHAnsi"/>
          <w:sz w:val="18"/>
          <w:szCs w:val="18"/>
        </w:rPr>
        <w:t>i</w:t>
      </w:r>
      <w:proofErr w:type="spellEnd"/>
      <w:r w:rsidRPr="002D090E">
        <w:rPr>
          <w:rFonts w:cstheme="minorHAnsi"/>
          <w:sz w:val="18"/>
          <w:szCs w:val="18"/>
        </w:rPr>
        <w:t xml:space="preserve"> </w:t>
      </w:r>
      <w:proofErr w:type="spellStart"/>
      <w:r w:rsidRPr="002D090E">
        <w:rPr>
          <w:rFonts w:cstheme="minorHAnsi"/>
          <w:sz w:val="18"/>
          <w:szCs w:val="18"/>
        </w:rPr>
        <w:t>odraslom</w:t>
      </w:r>
      <w:proofErr w:type="spellEnd"/>
      <w:r w:rsidRPr="002D090E">
        <w:rPr>
          <w:rFonts w:cstheme="minorHAnsi"/>
          <w:sz w:val="18"/>
          <w:szCs w:val="18"/>
        </w:rPr>
        <w:t xml:space="preserve"> "</w:t>
      </w:r>
      <w:proofErr w:type="spellStart"/>
      <w:r w:rsidRPr="002D090E">
        <w:rPr>
          <w:rFonts w:cstheme="minorHAnsi"/>
          <w:sz w:val="18"/>
          <w:szCs w:val="18"/>
        </w:rPr>
        <w:t>Službeni</w:t>
      </w:r>
      <w:proofErr w:type="spellEnd"/>
      <w:r w:rsidRPr="002D090E">
        <w:rPr>
          <w:rFonts w:cstheme="minorHAnsi"/>
          <w:sz w:val="18"/>
          <w:szCs w:val="18"/>
        </w:rPr>
        <w:t xml:space="preserve"> </w:t>
      </w:r>
      <w:proofErr w:type="spellStart"/>
      <w:r w:rsidRPr="002D090E">
        <w:rPr>
          <w:rFonts w:cstheme="minorHAnsi"/>
          <w:sz w:val="18"/>
          <w:szCs w:val="18"/>
        </w:rPr>
        <w:t>glasnik</w:t>
      </w:r>
      <w:proofErr w:type="spellEnd"/>
      <w:r w:rsidRPr="002D090E">
        <w:rPr>
          <w:rFonts w:cstheme="minorHAnsi"/>
          <w:sz w:val="18"/>
          <w:szCs w:val="18"/>
        </w:rPr>
        <w:t xml:space="preserve"> RS", </w:t>
      </w:r>
      <w:proofErr w:type="spellStart"/>
      <w:r w:rsidRPr="002D090E">
        <w:rPr>
          <w:rFonts w:cstheme="minorHAnsi"/>
          <w:sz w:val="18"/>
          <w:szCs w:val="18"/>
        </w:rPr>
        <w:t>broj</w:t>
      </w:r>
      <w:proofErr w:type="spellEnd"/>
      <w:r w:rsidRPr="002D090E">
        <w:rPr>
          <w:rFonts w:cstheme="minorHAnsi"/>
          <w:sz w:val="18"/>
          <w:szCs w:val="18"/>
        </w:rPr>
        <w:t xml:space="preserve"> 80 od 24. </w:t>
      </w:r>
      <w:proofErr w:type="spellStart"/>
      <w:r w:rsidRPr="002D090E">
        <w:rPr>
          <w:rFonts w:cstheme="minorHAnsi"/>
          <w:sz w:val="18"/>
          <w:szCs w:val="18"/>
        </w:rPr>
        <w:t>oktobra</w:t>
      </w:r>
      <w:proofErr w:type="spellEnd"/>
      <w:r w:rsidRPr="002D090E">
        <w:rPr>
          <w:rFonts w:cstheme="minorHAnsi"/>
          <w:sz w:val="18"/>
          <w:szCs w:val="18"/>
        </w:rPr>
        <w:t xml:space="preserve"> 2018 </w:t>
      </w:r>
      <w:proofErr w:type="spellStart"/>
      <w:r w:rsidRPr="002D090E">
        <w:rPr>
          <w:rFonts w:cstheme="minorHAnsi"/>
          <w:sz w:val="18"/>
          <w:szCs w:val="18"/>
        </w:rPr>
        <w:t>bliže</w:t>
      </w:r>
      <w:proofErr w:type="spellEnd"/>
      <w:r w:rsidRPr="002D090E">
        <w:rPr>
          <w:rFonts w:cstheme="minorHAnsi"/>
          <w:sz w:val="18"/>
          <w:szCs w:val="18"/>
        </w:rPr>
        <w:t xml:space="preserve"> </w:t>
      </w:r>
      <w:proofErr w:type="spellStart"/>
      <w:r w:rsidRPr="002D090E">
        <w:rPr>
          <w:rFonts w:cstheme="minorHAnsi"/>
          <w:sz w:val="18"/>
          <w:szCs w:val="18"/>
        </w:rPr>
        <w:t>određuje</w:t>
      </w:r>
      <w:proofErr w:type="spellEnd"/>
      <w:r w:rsidRPr="002D090E">
        <w:rPr>
          <w:rFonts w:cstheme="minorHAnsi"/>
          <w:sz w:val="18"/>
          <w:szCs w:val="18"/>
        </w:rPr>
        <w:t xml:space="preserve"> rad IRK I </w:t>
      </w:r>
      <w:proofErr w:type="spellStart"/>
      <w:r w:rsidRPr="002D090E">
        <w:rPr>
          <w:rFonts w:cstheme="minorHAnsi"/>
          <w:sz w:val="18"/>
          <w:szCs w:val="18"/>
        </w:rPr>
        <w:t>dodatnu</w:t>
      </w:r>
      <w:proofErr w:type="spellEnd"/>
      <w:r w:rsidRPr="002D090E">
        <w:rPr>
          <w:rFonts w:cstheme="minorHAnsi"/>
          <w:sz w:val="18"/>
          <w:szCs w:val="18"/>
        </w:rPr>
        <w:t xml:space="preserve"> </w:t>
      </w:r>
      <w:proofErr w:type="spellStart"/>
      <w:r w:rsidRPr="002D090E">
        <w:rPr>
          <w:rFonts w:cstheme="minorHAnsi"/>
          <w:sz w:val="18"/>
          <w:szCs w:val="18"/>
        </w:rPr>
        <w:t>podršku</w:t>
      </w:r>
      <w:proofErr w:type="spellEnd"/>
    </w:p>
  </w:footnote>
  <w:footnote w:id="9">
    <w:p w14:paraId="3ED9122F" w14:textId="3A29358A" w:rsidR="00B27536" w:rsidRPr="002D090E" w:rsidRDefault="00B27536" w:rsidP="00B27536">
      <w:pPr>
        <w:pStyle w:val="FootnoteText"/>
        <w:spacing w:after="120"/>
        <w:rPr>
          <w:rFonts w:cstheme="minorHAnsi"/>
          <w:sz w:val="18"/>
          <w:szCs w:val="18"/>
          <w:lang w:val="sr-Latn-RS"/>
        </w:rPr>
      </w:pPr>
      <w:r w:rsidRPr="002D090E">
        <w:rPr>
          <w:rStyle w:val="FootnoteReference"/>
          <w:rFonts w:cstheme="minorHAnsi"/>
          <w:sz w:val="18"/>
          <w:szCs w:val="18"/>
        </w:rPr>
        <w:footnoteRef/>
      </w:r>
      <w:r w:rsidRPr="002D090E">
        <w:rPr>
          <w:rFonts w:cstheme="minorHAnsi"/>
          <w:sz w:val="18"/>
          <w:szCs w:val="18"/>
        </w:rPr>
        <w:t xml:space="preserve"> </w:t>
      </w:r>
      <w:proofErr w:type="spellStart"/>
      <w:r w:rsidRPr="002D090E">
        <w:rPr>
          <w:rFonts w:cstheme="minorHAnsi"/>
          <w:sz w:val="18"/>
          <w:szCs w:val="18"/>
        </w:rPr>
        <w:t>Član</w:t>
      </w:r>
      <w:proofErr w:type="spellEnd"/>
      <w:r w:rsidRPr="002D090E">
        <w:rPr>
          <w:rFonts w:cstheme="minorHAnsi"/>
          <w:sz w:val="18"/>
          <w:szCs w:val="18"/>
        </w:rPr>
        <w:t xml:space="preserve"> 190. ZOSOV </w:t>
      </w:r>
      <w:proofErr w:type="spellStart"/>
      <w:r w:rsidRPr="002D090E">
        <w:rPr>
          <w:rFonts w:cstheme="minorHAnsi"/>
          <w:sz w:val="18"/>
          <w:szCs w:val="18"/>
        </w:rPr>
        <w:t>reguliše</w:t>
      </w:r>
      <w:proofErr w:type="spellEnd"/>
      <w:r w:rsidRPr="002D090E">
        <w:rPr>
          <w:rFonts w:cstheme="minorHAnsi"/>
          <w:sz w:val="18"/>
          <w:szCs w:val="18"/>
        </w:rPr>
        <w:t xml:space="preserve"> </w:t>
      </w:r>
      <w:proofErr w:type="spellStart"/>
      <w:r w:rsidRPr="002D090E">
        <w:rPr>
          <w:rFonts w:cstheme="minorHAnsi"/>
          <w:sz w:val="18"/>
          <w:szCs w:val="18"/>
        </w:rPr>
        <w:t>ovu</w:t>
      </w:r>
      <w:proofErr w:type="spellEnd"/>
      <w:r w:rsidRPr="002D090E">
        <w:rPr>
          <w:rFonts w:cstheme="minorHAnsi"/>
          <w:sz w:val="18"/>
          <w:szCs w:val="18"/>
        </w:rPr>
        <w:t xml:space="preserve"> </w:t>
      </w:r>
      <w:proofErr w:type="spellStart"/>
      <w:r w:rsidRPr="002D090E">
        <w:rPr>
          <w:rFonts w:cstheme="minorHAnsi"/>
          <w:sz w:val="18"/>
          <w:szCs w:val="18"/>
        </w:rPr>
        <w:t>mogućnosti</w:t>
      </w:r>
      <w:proofErr w:type="spellEnd"/>
    </w:p>
  </w:footnote>
  <w:footnote w:id="10">
    <w:p w14:paraId="008C4A08" w14:textId="77777777" w:rsidR="00F05400" w:rsidRPr="002D090E" w:rsidRDefault="00F05400" w:rsidP="00B27536">
      <w:pPr>
        <w:pStyle w:val="FootnoteText"/>
        <w:spacing w:after="120"/>
        <w:jc w:val="both"/>
        <w:rPr>
          <w:rFonts w:cstheme="minorHAnsi"/>
          <w:sz w:val="18"/>
          <w:szCs w:val="18"/>
        </w:rPr>
      </w:pPr>
      <w:r w:rsidRPr="002D090E">
        <w:rPr>
          <w:rStyle w:val="FootnoteReference"/>
          <w:rFonts w:cstheme="minorHAnsi"/>
          <w:sz w:val="18"/>
          <w:szCs w:val="18"/>
        </w:rPr>
        <w:footnoteRef/>
      </w:r>
      <w:r w:rsidRPr="002D090E">
        <w:rPr>
          <w:rFonts w:cstheme="minorHAnsi"/>
          <w:sz w:val="18"/>
          <w:szCs w:val="18"/>
        </w:rPr>
        <w:t xml:space="preserve"> </w:t>
      </w:r>
      <w:proofErr w:type="spellStart"/>
      <w:r w:rsidRPr="002D090E">
        <w:rPr>
          <w:rFonts w:cstheme="minorHAnsi"/>
          <w:sz w:val="18"/>
          <w:szCs w:val="18"/>
        </w:rPr>
        <w:t>Član</w:t>
      </w:r>
      <w:proofErr w:type="spellEnd"/>
      <w:r w:rsidRPr="002D090E">
        <w:rPr>
          <w:rFonts w:cstheme="minorHAnsi"/>
          <w:sz w:val="18"/>
          <w:szCs w:val="18"/>
        </w:rPr>
        <w:t xml:space="preserve"> 17. ZOSOV </w:t>
      </w:r>
      <w:proofErr w:type="spellStart"/>
      <w:r w:rsidRPr="002D090E">
        <w:rPr>
          <w:rFonts w:cstheme="minorHAnsi"/>
          <w:sz w:val="18"/>
          <w:szCs w:val="18"/>
        </w:rPr>
        <w:t>uređuje</w:t>
      </w:r>
      <w:proofErr w:type="spellEnd"/>
      <w:r w:rsidRPr="002D090E">
        <w:rPr>
          <w:rFonts w:cstheme="minorHAnsi"/>
          <w:sz w:val="18"/>
          <w:szCs w:val="18"/>
        </w:rPr>
        <w:t xml:space="preserve"> da JLS </w:t>
      </w:r>
      <w:proofErr w:type="spellStart"/>
      <w:r w:rsidRPr="002D090E">
        <w:rPr>
          <w:rFonts w:cstheme="minorHAnsi"/>
          <w:sz w:val="18"/>
          <w:szCs w:val="18"/>
        </w:rPr>
        <w:t>vodi</w:t>
      </w:r>
      <w:proofErr w:type="spellEnd"/>
      <w:r w:rsidRPr="002D090E">
        <w:rPr>
          <w:rFonts w:cstheme="minorHAnsi"/>
          <w:sz w:val="18"/>
          <w:szCs w:val="18"/>
        </w:rPr>
        <w:t xml:space="preserve"> </w:t>
      </w:r>
      <w:proofErr w:type="spellStart"/>
      <w:r w:rsidRPr="002D090E">
        <w:rPr>
          <w:rFonts w:cstheme="minorHAnsi"/>
          <w:sz w:val="18"/>
          <w:szCs w:val="18"/>
        </w:rPr>
        <w:t>evidenciju</w:t>
      </w:r>
      <w:proofErr w:type="spellEnd"/>
      <w:r w:rsidRPr="002D090E">
        <w:rPr>
          <w:rFonts w:cstheme="minorHAnsi"/>
          <w:sz w:val="18"/>
          <w:szCs w:val="18"/>
        </w:rPr>
        <w:t xml:space="preserve"> </w:t>
      </w:r>
      <w:proofErr w:type="spellStart"/>
      <w:r w:rsidRPr="002D090E">
        <w:rPr>
          <w:rFonts w:cstheme="minorHAnsi"/>
          <w:sz w:val="18"/>
          <w:szCs w:val="18"/>
        </w:rPr>
        <w:t>i</w:t>
      </w:r>
      <w:proofErr w:type="spellEnd"/>
      <w:r w:rsidRPr="002D090E">
        <w:rPr>
          <w:rFonts w:cstheme="minorHAnsi"/>
          <w:sz w:val="18"/>
          <w:szCs w:val="18"/>
        </w:rPr>
        <w:t xml:space="preserve"> </w:t>
      </w:r>
      <w:proofErr w:type="spellStart"/>
      <w:r w:rsidRPr="002D090E">
        <w:rPr>
          <w:rFonts w:cstheme="minorHAnsi"/>
          <w:sz w:val="18"/>
          <w:szCs w:val="18"/>
        </w:rPr>
        <w:t>obaveštava</w:t>
      </w:r>
      <w:proofErr w:type="spellEnd"/>
      <w:r w:rsidRPr="002D090E">
        <w:rPr>
          <w:rFonts w:cstheme="minorHAnsi"/>
          <w:sz w:val="18"/>
          <w:szCs w:val="18"/>
        </w:rPr>
        <w:t xml:space="preserve"> </w:t>
      </w:r>
      <w:proofErr w:type="spellStart"/>
      <w:r w:rsidRPr="002D090E">
        <w:rPr>
          <w:rFonts w:cstheme="minorHAnsi"/>
          <w:sz w:val="18"/>
          <w:szCs w:val="18"/>
        </w:rPr>
        <w:t>predškolsku</w:t>
      </w:r>
      <w:proofErr w:type="spellEnd"/>
      <w:r w:rsidRPr="002D090E">
        <w:rPr>
          <w:rFonts w:cstheme="minorHAnsi"/>
          <w:sz w:val="18"/>
          <w:szCs w:val="18"/>
        </w:rPr>
        <w:t xml:space="preserve"> </w:t>
      </w:r>
      <w:proofErr w:type="spellStart"/>
      <w:r w:rsidRPr="002D090E">
        <w:rPr>
          <w:rFonts w:cstheme="minorHAnsi"/>
          <w:sz w:val="18"/>
          <w:szCs w:val="18"/>
        </w:rPr>
        <w:t>ustanovu</w:t>
      </w:r>
      <w:proofErr w:type="spellEnd"/>
      <w:r w:rsidRPr="002D090E">
        <w:rPr>
          <w:rFonts w:cstheme="minorHAnsi"/>
          <w:sz w:val="18"/>
          <w:szCs w:val="18"/>
        </w:rPr>
        <w:t xml:space="preserve">, </w:t>
      </w:r>
      <w:proofErr w:type="spellStart"/>
      <w:r w:rsidRPr="002D090E">
        <w:rPr>
          <w:rFonts w:cstheme="minorHAnsi"/>
          <w:sz w:val="18"/>
          <w:szCs w:val="18"/>
        </w:rPr>
        <w:t>odnosno</w:t>
      </w:r>
      <w:proofErr w:type="spellEnd"/>
      <w:r w:rsidRPr="002D090E">
        <w:rPr>
          <w:rFonts w:cstheme="minorHAnsi"/>
          <w:sz w:val="18"/>
          <w:szCs w:val="18"/>
        </w:rPr>
        <w:t xml:space="preserve"> </w:t>
      </w:r>
      <w:proofErr w:type="spellStart"/>
      <w:r w:rsidRPr="002D090E">
        <w:rPr>
          <w:rFonts w:cstheme="minorHAnsi"/>
          <w:sz w:val="18"/>
          <w:szCs w:val="18"/>
        </w:rPr>
        <w:t>osnovnu</w:t>
      </w:r>
      <w:proofErr w:type="spellEnd"/>
      <w:r w:rsidRPr="002D090E">
        <w:rPr>
          <w:rFonts w:cstheme="minorHAnsi"/>
          <w:sz w:val="18"/>
          <w:szCs w:val="18"/>
        </w:rPr>
        <w:t xml:space="preserve"> </w:t>
      </w:r>
      <w:proofErr w:type="spellStart"/>
      <w:r w:rsidRPr="002D090E">
        <w:rPr>
          <w:rFonts w:cstheme="minorHAnsi"/>
          <w:sz w:val="18"/>
          <w:szCs w:val="18"/>
        </w:rPr>
        <w:t>školu</w:t>
      </w:r>
      <w:proofErr w:type="spellEnd"/>
      <w:r w:rsidRPr="002D090E">
        <w:rPr>
          <w:rFonts w:cstheme="minorHAnsi"/>
          <w:sz w:val="18"/>
          <w:szCs w:val="18"/>
        </w:rPr>
        <w:t xml:space="preserve"> </w:t>
      </w:r>
      <w:proofErr w:type="spellStart"/>
      <w:r w:rsidRPr="002D090E">
        <w:rPr>
          <w:rFonts w:cstheme="minorHAnsi"/>
          <w:sz w:val="18"/>
          <w:szCs w:val="18"/>
        </w:rPr>
        <w:t>koja</w:t>
      </w:r>
      <w:proofErr w:type="spellEnd"/>
      <w:r w:rsidRPr="002D090E">
        <w:rPr>
          <w:rFonts w:cstheme="minorHAnsi"/>
          <w:sz w:val="18"/>
          <w:szCs w:val="18"/>
        </w:rPr>
        <w:t xml:space="preserve"> </w:t>
      </w:r>
      <w:proofErr w:type="spellStart"/>
      <w:r w:rsidRPr="002D090E">
        <w:rPr>
          <w:rFonts w:cstheme="minorHAnsi"/>
          <w:sz w:val="18"/>
          <w:szCs w:val="18"/>
        </w:rPr>
        <w:t>ostvaruje</w:t>
      </w:r>
      <w:proofErr w:type="spellEnd"/>
      <w:r w:rsidRPr="002D090E">
        <w:rPr>
          <w:rFonts w:cstheme="minorHAnsi"/>
          <w:sz w:val="18"/>
          <w:szCs w:val="18"/>
        </w:rPr>
        <w:t xml:space="preserve"> </w:t>
      </w:r>
      <w:proofErr w:type="spellStart"/>
      <w:r w:rsidRPr="002D090E">
        <w:rPr>
          <w:rFonts w:cstheme="minorHAnsi"/>
          <w:sz w:val="18"/>
          <w:szCs w:val="18"/>
        </w:rPr>
        <w:t>pripremni</w:t>
      </w:r>
      <w:proofErr w:type="spellEnd"/>
      <w:r w:rsidRPr="002D090E">
        <w:rPr>
          <w:rFonts w:cstheme="minorHAnsi"/>
          <w:sz w:val="18"/>
          <w:szCs w:val="18"/>
        </w:rPr>
        <w:t xml:space="preserve"> </w:t>
      </w:r>
      <w:proofErr w:type="spellStart"/>
      <w:r w:rsidRPr="002D090E">
        <w:rPr>
          <w:rFonts w:cstheme="minorHAnsi"/>
          <w:sz w:val="18"/>
          <w:szCs w:val="18"/>
        </w:rPr>
        <w:t>predškolski</w:t>
      </w:r>
      <w:proofErr w:type="spellEnd"/>
      <w:r w:rsidRPr="002D090E">
        <w:rPr>
          <w:rFonts w:cstheme="minorHAnsi"/>
          <w:sz w:val="18"/>
          <w:szCs w:val="18"/>
        </w:rPr>
        <w:t xml:space="preserve"> program o </w:t>
      </w:r>
      <w:proofErr w:type="spellStart"/>
      <w:r w:rsidRPr="002D090E">
        <w:rPr>
          <w:rFonts w:cstheme="minorHAnsi"/>
          <w:sz w:val="18"/>
          <w:szCs w:val="18"/>
        </w:rPr>
        <w:t>deci</w:t>
      </w:r>
      <w:proofErr w:type="spellEnd"/>
      <w:r w:rsidRPr="002D090E">
        <w:rPr>
          <w:rFonts w:cstheme="minorHAnsi"/>
          <w:sz w:val="18"/>
          <w:szCs w:val="18"/>
        </w:rPr>
        <w:t xml:space="preserve"> </w:t>
      </w:r>
      <w:proofErr w:type="spellStart"/>
      <w:r w:rsidRPr="002D090E">
        <w:rPr>
          <w:rFonts w:cstheme="minorHAnsi"/>
          <w:sz w:val="18"/>
          <w:szCs w:val="18"/>
        </w:rPr>
        <w:t>koja</w:t>
      </w:r>
      <w:proofErr w:type="spellEnd"/>
      <w:r w:rsidRPr="002D090E">
        <w:rPr>
          <w:rFonts w:cstheme="minorHAnsi"/>
          <w:sz w:val="18"/>
          <w:szCs w:val="18"/>
        </w:rPr>
        <w:t xml:space="preserve"> </w:t>
      </w:r>
      <w:proofErr w:type="spellStart"/>
      <w:r w:rsidRPr="002D090E">
        <w:rPr>
          <w:rFonts w:cstheme="minorHAnsi"/>
          <w:sz w:val="18"/>
          <w:szCs w:val="18"/>
        </w:rPr>
        <w:t>su</w:t>
      </w:r>
      <w:proofErr w:type="spellEnd"/>
      <w:r w:rsidRPr="002D090E">
        <w:rPr>
          <w:rFonts w:cstheme="minorHAnsi"/>
          <w:sz w:val="18"/>
          <w:szCs w:val="18"/>
        </w:rPr>
        <w:t xml:space="preserve"> </w:t>
      </w:r>
      <w:proofErr w:type="spellStart"/>
      <w:r w:rsidRPr="002D090E">
        <w:rPr>
          <w:rFonts w:cstheme="minorHAnsi"/>
          <w:sz w:val="18"/>
          <w:szCs w:val="18"/>
        </w:rPr>
        <w:t>stasala</w:t>
      </w:r>
      <w:proofErr w:type="spellEnd"/>
      <w:r w:rsidRPr="002D090E">
        <w:rPr>
          <w:rFonts w:cstheme="minorHAnsi"/>
          <w:sz w:val="18"/>
          <w:szCs w:val="18"/>
        </w:rPr>
        <w:t xml:space="preserve"> za </w:t>
      </w:r>
      <w:proofErr w:type="spellStart"/>
      <w:r w:rsidRPr="002D090E">
        <w:rPr>
          <w:rFonts w:cstheme="minorHAnsi"/>
          <w:sz w:val="18"/>
          <w:szCs w:val="18"/>
        </w:rPr>
        <w:t>pohađanje</w:t>
      </w:r>
      <w:proofErr w:type="spellEnd"/>
      <w:r w:rsidRPr="002D090E">
        <w:rPr>
          <w:rFonts w:cstheme="minorHAnsi"/>
          <w:sz w:val="18"/>
          <w:szCs w:val="18"/>
        </w:rPr>
        <w:t xml:space="preserve"> </w:t>
      </w:r>
      <w:proofErr w:type="spellStart"/>
      <w:r w:rsidRPr="002D090E">
        <w:rPr>
          <w:rFonts w:cstheme="minorHAnsi"/>
          <w:sz w:val="18"/>
          <w:szCs w:val="18"/>
        </w:rPr>
        <w:t>pripremnog</w:t>
      </w:r>
      <w:proofErr w:type="spellEnd"/>
      <w:r w:rsidRPr="002D090E">
        <w:rPr>
          <w:rFonts w:cstheme="minorHAnsi"/>
          <w:sz w:val="18"/>
          <w:szCs w:val="18"/>
        </w:rPr>
        <w:t xml:space="preserve"> </w:t>
      </w:r>
      <w:proofErr w:type="spellStart"/>
      <w:r w:rsidRPr="002D090E">
        <w:rPr>
          <w:rFonts w:cstheme="minorHAnsi"/>
          <w:sz w:val="18"/>
          <w:szCs w:val="18"/>
        </w:rPr>
        <w:t>predškolskog</w:t>
      </w:r>
      <w:proofErr w:type="spellEnd"/>
      <w:r w:rsidRPr="002D090E">
        <w:rPr>
          <w:rFonts w:cstheme="minorHAnsi"/>
          <w:sz w:val="18"/>
          <w:szCs w:val="18"/>
        </w:rPr>
        <w:t xml:space="preserve"> </w:t>
      </w:r>
      <w:proofErr w:type="spellStart"/>
      <w:r w:rsidRPr="002D090E">
        <w:rPr>
          <w:rFonts w:cstheme="minorHAnsi"/>
          <w:sz w:val="18"/>
          <w:szCs w:val="18"/>
        </w:rPr>
        <w:t>programa</w:t>
      </w:r>
      <w:proofErr w:type="spellEnd"/>
      <w:r w:rsidRPr="002D090E">
        <w:rPr>
          <w:rFonts w:cstheme="minorHAnsi"/>
          <w:sz w:val="18"/>
          <w:szCs w:val="18"/>
        </w:rPr>
        <w:t xml:space="preserve">, u </w:t>
      </w:r>
      <w:proofErr w:type="spellStart"/>
      <w:r w:rsidRPr="002D090E">
        <w:rPr>
          <w:rFonts w:cstheme="minorHAnsi"/>
          <w:sz w:val="18"/>
          <w:szCs w:val="18"/>
        </w:rPr>
        <w:t>skladu</w:t>
      </w:r>
      <w:proofErr w:type="spellEnd"/>
      <w:r w:rsidRPr="002D090E">
        <w:rPr>
          <w:rFonts w:cstheme="minorHAnsi"/>
          <w:sz w:val="18"/>
          <w:szCs w:val="18"/>
        </w:rPr>
        <w:t xml:space="preserve"> </w:t>
      </w:r>
      <w:proofErr w:type="spellStart"/>
      <w:r w:rsidRPr="002D090E">
        <w:rPr>
          <w:rFonts w:cstheme="minorHAnsi"/>
          <w:sz w:val="18"/>
          <w:szCs w:val="18"/>
        </w:rPr>
        <w:t>sa</w:t>
      </w:r>
      <w:proofErr w:type="spellEnd"/>
      <w:r w:rsidRPr="002D090E">
        <w:rPr>
          <w:rFonts w:cstheme="minorHAnsi"/>
          <w:sz w:val="18"/>
          <w:szCs w:val="18"/>
        </w:rPr>
        <w:t xml:space="preserve"> </w:t>
      </w:r>
      <w:proofErr w:type="spellStart"/>
      <w:r w:rsidRPr="002D090E">
        <w:rPr>
          <w:rFonts w:cstheme="minorHAnsi"/>
          <w:sz w:val="18"/>
          <w:szCs w:val="18"/>
        </w:rPr>
        <w:t>posebnim</w:t>
      </w:r>
      <w:proofErr w:type="spellEnd"/>
      <w:r w:rsidRPr="002D090E">
        <w:rPr>
          <w:rFonts w:cstheme="minorHAnsi"/>
          <w:sz w:val="18"/>
          <w:szCs w:val="18"/>
        </w:rPr>
        <w:t xml:space="preserve"> </w:t>
      </w:r>
      <w:proofErr w:type="spellStart"/>
      <w:r w:rsidRPr="002D090E">
        <w:rPr>
          <w:rFonts w:cstheme="minorHAnsi"/>
          <w:sz w:val="18"/>
          <w:szCs w:val="18"/>
        </w:rPr>
        <w:t>zakonom</w:t>
      </w:r>
      <w:proofErr w:type="spellEnd"/>
      <w:r w:rsidRPr="002D090E">
        <w:rPr>
          <w:rFonts w:cstheme="minorHAnsi"/>
          <w:sz w:val="18"/>
          <w:szCs w:val="18"/>
        </w:rPr>
        <w:t>.</w:t>
      </w:r>
    </w:p>
  </w:footnote>
  <w:footnote w:id="11">
    <w:p w14:paraId="7862B330" w14:textId="6C14A9D5" w:rsidR="005B59B4" w:rsidRPr="002C0507" w:rsidRDefault="005B59B4" w:rsidP="003E4794">
      <w:pPr>
        <w:pStyle w:val="FootnoteText"/>
        <w:rPr>
          <w:sz w:val="18"/>
          <w:szCs w:val="18"/>
          <w:lang w:val="sr-Latn-RS"/>
        </w:rPr>
      </w:pPr>
      <w:r w:rsidRPr="002C0507">
        <w:rPr>
          <w:rStyle w:val="FootnoteReference"/>
          <w:sz w:val="18"/>
          <w:szCs w:val="18"/>
        </w:rPr>
        <w:footnoteRef/>
      </w:r>
      <w:r w:rsidRPr="002C0507">
        <w:rPr>
          <w:sz w:val="18"/>
          <w:szCs w:val="18"/>
        </w:rPr>
        <w:t xml:space="preserve"> </w:t>
      </w:r>
      <w:proofErr w:type="spellStart"/>
      <w:r w:rsidRPr="002C0507">
        <w:rPr>
          <w:sz w:val="18"/>
          <w:szCs w:val="18"/>
        </w:rPr>
        <w:t>Petogodišnji</w:t>
      </w:r>
      <w:proofErr w:type="spellEnd"/>
      <w:r w:rsidRPr="002C0507">
        <w:rPr>
          <w:sz w:val="18"/>
          <w:szCs w:val="18"/>
        </w:rPr>
        <w:t xml:space="preserve"> </w:t>
      </w:r>
      <w:proofErr w:type="spellStart"/>
      <w:r w:rsidRPr="002C0507">
        <w:rPr>
          <w:sz w:val="18"/>
          <w:szCs w:val="18"/>
        </w:rPr>
        <w:t>prosek</w:t>
      </w:r>
      <w:proofErr w:type="spellEnd"/>
      <w:r w:rsidRPr="002C0507">
        <w:rPr>
          <w:sz w:val="18"/>
          <w:szCs w:val="18"/>
        </w:rPr>
        <w:t xml:space="preserve"> je </w:t>
      </w:r>
      <w:proofErr w:type="spellStart"/>
      <w:r w:rsidRPr="002C0507">
        <w:rPr>
          <w:sz w:val="18"/>
          <w:szCs w:val="18"/>
        </w:rPr>
        <w:t>rađen</w:t>
      </w:r>
      <w:proofErr w:type="spellEnd"/>
      <w:r w:rsidRPr="002C0507">
        <w:rPr>
          <w:sz w:val="18"/>
          <w:szCs w:val="18"/>
        </w:rPr>
        <w:t xml:space="preserve"> da bi se </w:t>
      </w:r>
      <w:proofErr w:type="spellStart"/>
      <w:r w:rsidRPr="002C0507">
        <w:rPr>
          <w:sz w:val="18"/>
          <w:szCs w:val="18"/>
        </w:rPr>
        <w:t>ublažio</w:t>
      </w:r>
      <w:proofErr w:type="spellEnd"/>
      <w:r w:rsidRPr="002C0507">
        <w:rPr>
          <w:sz w:val="18"/>
          <w:szCs w:val="18"/>
        </w:rPr>
        <w:t xml:space="preserve"> problem </w:t>
      </w:r>
      <w:proofErr w:type="spellStart"/>
      <w:r w:rsidRPr="002C0507">
        <w:rPr>
          <w:sz w:val="18"/>
          <w:szCs w:val="18"/>
        </w:rPr>
        <w:t>fluktuacije</w:t>
      </w:r>
      <w:proofErr w:type="spellEnd"/>
      <w:r w:rsidRPr="002C0507">
        <w:rPr>
          <w:sz w:val="18"/>
          <w:szCs w:val="18"/>
        </w:rPr>
        <w:t xml:space="preserve"> </w:t>
      </w:r>
      <w:proofErr w:type="spellStart"/>
      <w:r w:rsidRPr="002C0507">
        <w:rPr>
          <w:sz w:val="18"/>
          <w:szCs w:val="18"/>
        </w:rPr>
        <w:t>podataka</w:t>
      </w:r>
      <w:proofErr w:type="spellEnd"/>
      <w:r w:rsidRPr="002C0507">
        <w:rPr>
          <w:sz w:val="18"/>
          <w:szCs w:val="18"/>
        </w:rPr>
        <w:t xml:space="preserve"> </w:t>
      </w:r>
      <w:proofErr w:type="spellStart"/>
      <w:r w:rsidRPr="002C0507">
        <w:rPr>
          <w:sz w:val="18"/>
          <w:szCs w:val="18"/>
        </w:rPr>
        <w:t>na</w:t>
      </w:r>
      <w:proofErr w:type="spellEnd"/>
      <w:r w:rsidRPr="002C0507">
        <w:rPr>
          <w:sz w:val="18"/>
          <w:szCs w:val="18"/>
        </w:rPr>
        <w:t xml:space="preserve"> </w:t>
      </w:r>
      <w:proofErr w:type="spellStart"/>
      <w:r w:rsidRPr="002C0507">
        <w:rPr>
          <w:sz w:val="18"/>
          <w:szCs w:val="18"/>
        </w:rPr>
        <w:t>opštinskom</w:t>
      </w:r>
      <w:proofErr w:type="spellEnd"/>
      <w:r w:rsidRPr="002C0507">
        <w:rPr>
          <w:sz w:val="18"/>
          <w:szCs w:val="18"/>
        </w:rPr>
        <w:t xml:space="preserve"> </w:t>
      </w:r>
      <w:proofErr w:type="spellStart"/>
      <w:r w:rsidRPr="002C0507">
        <w:rPr>
          <w:sz w:val="18"/>
          <w:szCs w:val="18"/>
        </w:rPr>
        <w:t>nivou</w:t>
      </w:r>
      <w:proofErr w:type="spellEnd"/>
      <w:r w:rsidRPr="002C0507">
        <w:rPr>
          <w:sz w:val="18"/>
          <w:szCs w:val="18"/>
        </w:rPr>
        <w:t xml:space="preserve"> koji je za </w:t>
      </w:r>
      <w:proofErr w:type="spellStart"/>
      <w:r w:rsidRPr="002C0507">
        <w:rPr>
          <w:sz w:val="18"/>
          <w:szCs w:val="18"/>
        </w:rPr>
        <w:t>opštinu</w:t>
      </w:r>
      <w:proofErr w:type="spellEnd"/>
      <w:r w:rsidRPr="002C0507">
        <w:rPr>
          <w:sz w:val="18"/>
          <w:szCs w:val="18"/>
        </w:rPr>
        <w:t xml:space="preserve"> </w:t>
      </w:r>
      <w:proofErr w:type="spellStart"/>
      <w:r w:rsidR="00D3456E">
        <w:rPr>
          <w:sz w:val="18"/>
          <w:szCs w:val="18"/>
        </w:rPr>
        <w:t>Tutin</w:t>
      </w:r>
      <w:proofErr w:type="spellEnd"/>
      <w:r w:rsidR="00D3456E">
        <w:rPr>
          <w:sz w:val="18"/>
          <w:szCs w:val="18"/>
        </w:rPr>
        <w:t xml:space="preserve"> </w:t>
      </w:r>
      <w:proofErr w:type="spellStart"/>
      <w:r w:rsidR="00D3456E">
        <w:rPr>
          <w:sz w:val="18"/>
          <w:szCs w:val="18"/>
        </w:rPr>
        <w:t>prisutan</w:t>
      </w:r>
      <w:proofErr w:type="spellEnd"/>
      <w:r w:rsidR="00D3456E">
        <w:rPr>
          <w:sz w:val="18"/>
          <w:szCs w:val="18"/>
        </w:rPr>
        <w:t xml:space="preserve"> </w:t>
      </w:r>
      <w:proofErr w:type="spellStart"/>
      <w:r w:rsidR="00D3456E">
        <w:rPr>
          <w:sz w:val="18"/>
          <w:szCs w:val="18"/>
        </w:rPr>
        <w:t>samo</w:t>
      </w:r>
      <w:proofErr w:type="spellEnd"/>
      <w:r w:rsidR="00D3456E">
        <w:rPr>
          <w:sz w:val="18"/>
          <w:szCs w:val="18"/>
        </w:rPr>
        <w:t xml:space="preserve"> </w:t>
      </w:r>
      <w:proofErr w:type="spellStart"/>
      <w:r w:rsidR="00D3456E">
        <w:rPr>
          <w:sz w:val="18"/>
          <w:szCs w:val="18"/>
        </w:rPr>
        <w:t>kod</w:t>
      </w:r>
      <w:proofErr w:type="spellEnd"/>
      <w:r w:rsidR="00D3456E">
        <w:rPr>
          <w:sz w:val="18"/>
          <w:szCs w:val="18"/>
        </w:rPr>
        <w:t xml:space="preserve"> </w:t>
      </w:r>
      <w:proofErr w:type="spellStart"/>
      <w:r w:rsidR="00D3456E">
        <w:rPr>
          <w:sz w:val="18"/>
          <w:szCs w:val="18"/>
        </w:rPr>
        <w:t>obuhvata</w:t>
      </w:r>
      <w:proofErr w:type="spellEnd"/>
      <w:r w:rsidR="00D3456E">
        <w:rPr>
          <w:sz w:val="18"/>
          <w:szCs w:val="18"/>
        </w:rPr>
        <w:t xml:space="preserve"> PPP</w:t>
      </w:r>
      <w:r w:rsidRPr="002C0507">
        <w:rPr>
          <w:sz w:val="18"/>
          <w:szCs w:val="18"/>
        </w:rPr>
        <w:t xml:space="preserve"> </w:t>
      </w:r>
    </w:p>
  </w:footnote>
  <w:footnote w:id="12">
    <w:p w14:paraId="2399AB86" w14:textId="77777777" w:rsidR="005B59B4" w:rsidRPr="00D848D4" w:rsidRDefault="005B59B4" w:rsidP="00DB5D24">
      <w:pPr>
        <w:pStyle w:val="FootnoteText"/>
        <w:spacing w:after="60"/>
        <w:jc w:val="both"/>
        <w:rPr>
          <w:sz w:val="18"/>
          <w:szCs w:val="18"/>
        </w:rPr>
      </w:pPr>
      <w:r w:rsidRPr="00D848D4">
        <w:rPr>
          <w:rStyle w:val="FootnoteReference"/>
          <w:sz w:val="18"/>
          <w:szCs w:val="18"/>
        </w:rPr>
        <w:footnoteRef/>
      </w:r>
      <w:r w:rsidRPr="00D848D4">
        <w:rPr>
          <w:sz w:val="18"/>
          <w:szCs w:val="18"/>
        </w:rPr>
        <w:t xml:space="preserve"> </w:t>
      </w:r>
      <w:proofErr w:type="spellStart"/>
      <w:r w:rsidRPr="00D848D4">
        <w:rPr>
          <w:sz w:val="18"/>
          <w:szCs w:val="18"/>
        </w:rPr>
        <w:t>Potcilj</w:t>
      </w:r>
      <w:proofErr w:type="spellEnd"/>
      <w:r w:rsidRPr="00D848D4">
        <w:rPr>
          <w:sz w:val="18"/>
          <w:szCs w:val="18"/>
        </w:rPr>
        <w:t xml:space="preserve"> u </w:t>
      </w:r>
      <w:proofErr w:type="spellStart"/>
      <w:r w:rsidRPr="00D848D4">
        <w:rPr>
          <w:sz w:val="18"/>
          <w:szCs w:val="18"/>
        </w:rPr>
        <w:t>okviru</w:t>
      </w:r>
      <w:proofErr w:type="spellEnd"/>
      <w:r w:rsidRPr="00D848D4">
        <w:rPr>
          <w:sz w:val="18"/>
          <w:szCs w:val="18"/>
        </w:rPr>
        <w:t xml:space="preserve"> </w:t>
      </w:r>
      <w:proofErr w:type="spellStart"/>
      <w:r w:rsidRPr="00D848D4">
        <w:rPr>
          <w:sz w:val="18"/>
          <w:szCs w:val="18"/>
        </w:rPr>
        <w:t>Cilja</w:t>
      </w:r>
      <w:proofErr w:type="spellEnd"/>
      <w:r w:rsidRPr="00D848D4">
        <w:rPr>
          <w:sz w:val="18"/>
          <w:szCs w:val="18"/>
        </w:rPr>
        <w:t xml:space="preserve"> 4. </w:t>
      </w:r>
      <w:proofErr w:type="spellStart"/>
      <w:r w:rsidRPr="00D848D4">
        <w:rPr>
          <w:i/>
          <w:sz w:val="18"/>
          <w:szCs w:val="18"/>
          <w:u w:val="single"/>
        </w:rPr>
        <w:t>Obezbediti</w:t>
      </w:r>
      <w:proofErr w:type="spellEnd"/>
      <w:r w:rsidRPr="00D848D4">
        <w:rPr>
          <w:i/>
          <w:sz w:val="18"/>
          <w:szCs w:val="18"/>
          <w:u w:val="single"/>
        </w:rPr>
        <w:t xml:space="preserve"> </w:t>
      </w:r>
      <w:proofErr w:type="spellStart"/>
      <w:r w:rsidRPr="00D848D4">
        <w:rPr>
          <w:i/>
          <w:sz w:val="18"/>
          <w:szCs w:val="18"/>
          <w:u w:val="single"/>
        </w:rPr>
        <w:t>inkluzivno</w:t>
      </w:r>
      <w:proofErr w:type="spellEnd"/>
      <w:r w:rsidRPr="00D848D4">
        <w:rPr>
          <w:i/>
          <w:sz w:val="18"/>
          <w:szCs w:val="18"/>
          <w:u w:val="single"/>
        </w:rPr>
        <w:t xml:space="preserve"> </w:t>
      </w:r>
      <w:proofErr w:type="spellStart"/>
      <w:r w:rsidRPr="00D848D4">
        <w:rPr>
          <w:i/>
          <w:sz w:val="18"/>
          <w:szCs w:val="18"/>
          <w:u w:val="single"/>
        </w:rPr>
        <w:t>i</w:t>
      </w:r>
      <w:proofErr w:type="spellEnd"/>
      <w:r w:rsidRPr="00D848D4">
        <w:rPr>
          <w:i/>
          <w:sz w:val="18"/>
          <w:szCs w:val="18"/>
          <w:u w:val="single"/>
        </w:rPr>
        <w:t xml:space="preserve"> </w:t>
      </w:r>
      <w:proofErr w:type="spellStart"/>
      <w:r w:rsidRPr="00D848D4">
        <w:rPr>
          <w:i/>
          <w:sz w:val="18"/>
          <w:szCs w:val="18"/>
          <w:u w:val="single"/>
        </w:rPr>
        <w:t>kvalitetno</w:t>
      </w:r>
      <w:proofErr w:type="spellEnd"/>
      <w:r w:rsidRPr="00D848D4">
        <w:rPr>
          <w:i/>
          <w:sz w:val="18"/>
          <w:szCs w:val="18"/>
          <w:u w:val="single"/>
        </w:rPr>
        <w:t xml:space="preserve"> </w:t>
      </w:r>
      <w:proofErr w:type="spellStart"/>
      <w:r w:rsidRPr="00D848D4">
        <w:rPr>
          <w:i/>
          <w:sz w:val="18"/>
          <w:szCs w:val="18"/>
          <w:u w:val="single"/>
        </w:rPr>
        <w:t>obrazovanje</w:t>
      </w:r>
      <w:proofErr w:type="spellEnd"/>
      <w:r w:rsidRPr="00D848D4">
        <w:rPr>
          <w:i/>
          <w:sz w:val="18"/>
          <w:szCs w:val="18"/>
          <w:u w:val="single"/>
        </w:rPr>
        <w:t xml:space="preserve"> </w:t>
      </w:r>
      <w:proofErr w:type="spellStart"/>
      <w:r w:rsidRPr="00D848D4">
        <w:rPr>
          <w:i/>
          <w:sz w:val="18"/>
          <w:szCs w:val="18"/>
          <w:u w:val="single"/>
        </w:rPr>
        <w:t>i</w:t>
      </w:r>
      <w:proofErr w:type="spellEnd"/>
      <w:r w:rsidRPr="00D848D4">
        <w:rPr>
          <w:i/>
          <w:sz w:val="18"/>
          <w:szCs w:val="18"/>
          <w:u w:val="single"/>
        </w:rPr>
        <w:t xml:space="preserve"> </w:t>
      </w:r>
      <w:proofErr w:type="spellStart"/>
      <w:r w:rsidRPr="00D848D4">
        <w:rPr>
          <w:i/>
          <w:sz w:val="18"/>
          <w:szCs w:val="18"/>
          <w:u w:val="single"/>
        </w:rPr>
        <w:t>promovisati</w:t>
      </w:r>
      <w:proofErr w:type="spellEnd"/>
      <w:r w:rsidRPr="00D848D4">
        <w:rPr>
          <w:i/>
          <w:sz w:val="18"/>
          <w:szCs w:val="18"/>
          <w:u w:val="single"/>
        </w:rPr>
        <w:t xml:space="preserve"> </w:t>
      </w:r>
      <w:proofErr w:type="spellStart"/>
      <w:r w:rsidRPr="00D848D4">
        <w:rPr>
          <w:i/>
          <w:sz w:val="18"/>
          <w:szCs w:val="18"/>
          <w:u w:val="single"/>
        </w:rPr>
        <w:t>mogućnosti</w:t>
      </w:r>
      <w:proofErr w:type="spellEnd"/>
      <w:r w:rsidRPr="00D848D4">
        <w:rPr>
          <w:i/>
          <w:sz w:val="18"/>
          <w:szCs w:val="18"/>
          <w:u w:val="single"/>
        </w:rPr>
        <w:t xml:space="preserve"> </w:t>
      </w:r>
      <w:proofErr w:type="spellStart"/>
      <w:r w:rsidRPr="00D848D4">
        <w:rPr>
          <w:i/>
          <w:sz w:val="18"/>
          <w:szCs w:val="18"/>
          <w:u w:val="single"/>
        </w:rPr>
        <w:t>celoživotnog</w:t>
      </w:r>
      <w:proofErr w:type="spellEnd"/>
      <w:r w:rsidRPr="00D848D4">
        <w:rPr>
          <w:i/>
          <w:sz w:val="18"/>
          <w:szCs w:val="18"/>
          <w:u w:val="single"/>
        </w:rPr>
        <w:t xml:space="preserve"> </w:t>
      </w:r>
      <w:proofErr w:type="spellStart"/>
      <w:r w:rsidRPr="00D848D4">
        <w:rPr>
          <w:i/>
          <w:sz w:val="18"/>
          <w:szCs w:val="18"/>
          <w:u w:val="single"/>
        </w:rPr>
        <w:t>učenja</w:t>
      </w:r>
      <w:proofErr w:type="spellEnd"/>
    </w:p>
  </w:footnote>
  <w:footnote w:id="13">
    <w:p w14:paraId="5955FBFC" w14:textId="77777777" w:rsidR="005B59B4" w:rsidRPr="00D848D4" w:rsidRDefault="005B59B4" w:rsidP="00DB5D24">
      <w:pPr>
        <w:pStyle w:val="FootnoteText"/>
        <w:spacing w:after="60"/>
        <w:jc w:val="both"/>
        <w:rPr>
          <w:sz w:val="18"/>
          <w:szCs w:val="18"/>
        </w:rPr>
      </w:pPr>
      <w:r w:rsidRPr="00D848D4">
        <w:rPr>
          <w:rStyle w:val="FootnoteReference"/>
          <w:sz w:val="18"/>
          <w:szCs w:val="18"/>
        </w:rPr>
        <w:footnoteRef/>
      </w:r>
      <w:r w:rsidRPr="00D848D4">
        <w:rPr>
          <w:sz w:val="18"/>
          <w:szCs w:val="18"/>
        </w:rPr>
        <w:t xml:space="preserve"> </w:t>
      </w:r>
      <w:proofErr w:type="spellStart"/>
      <w:r>
        <w:rPr>
          <w:sz w:val="18"/>
          <w:szCs w:val="18"/>
        </w:rPr>
        <w:t>Strategija</w:t>
      </w:r>
      <w:proofErr w:type="spellEnd"/>
      <w:r>
        <w:rPr>
          <w:sz w:val="18"/>
          <w:szCs w:val="18"/>
        </w:rPr>
        <w:t xml:space="preserve"> </w:t>
      </w:r>
      <w:proofErr w:type="spellStart"/>
      <w:r>
        <w:rPr>
          <w:sz w:val="18"/>
          <w:szCs w:val="18"/>
        </w:rPr>
        <w:t>obrazovanja</w:t>
      </w:r>
      <w:proofErr w:type="spellEnd"/>
      <w:r>
        <w:rPr>
          <w:sz w:val="18"/>
          <w:szCs w:val="18"/>
        </w:rPr>
        <w:t xml:space="preserve"> 2020 </w:t>
      </w:r>
      <w:proofErr w:type="spellStart"/>
      <w:r>
        <w:rPr>
          <w:sz w:val="18"/>
          <w:szCs w:val="18"/>
        </w:rPr>
        <w:t>i</w:t>
      </w:r>
      <w:proofErr w:type="spellEnd"/>
      <w:r>
        <w:rPr>
          <w:sz w:val="18"/>
          <w:szCs w:val="18"/>
        </w:rPr>
        <w:t xml:space="preserve"> </w:t>
      </w:r>
      <w:proofErr w:type="spellStart"/>
      <w:r>
        <w:rPr>
          <w:sz w:val="18"/>
          <w:szCs w:val="18"/>
        </w:rPr>
        <w:t>Baucel</w:t>
      </w:r>
      <w:proofErr w:type="spellEnd"/>
      <w:r>
        <w:rPr>
          <w:sz w:val="18"/>
          <w:szCs w:val="18"/>
        </w:rPr>
        <w:t xml:space="preserve"> et. Al (2015)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168B"/>
    <w:multiLevelType w:val="multilevel"/>
    <w:tmpl w:val="9B743C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2C74CE5"/>
    <w:multiLevelType w:val="hybridMultilevel"/>
    <w:tmpl w:val="07C42F3C"/>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24"/>
    <w:rsid w:val="00007943"/>
    <w:rsid w:val="00010E4C"/>
    <w:rsid w:val="00013DC4"/>
    <w:rsid w:val="0003446D"/>
    <w:rsid w:val="00037C16"/>
    <w:rsid w:val="0005016F"/>
    <w:rsid w:val="000534A5"/>
    <w:rsid w:val="00053B27"/>
    <w:rsid w:val="00054469"/>
    <w:rsid w:val="00060414"/>
    <w:rsid w:val="00061868"/>
    <w:rsid w:val="000649DE"/>
    <w:rsid w:val="00070A07"/>
    <w:rsid w:val="00074E62"/>
    <w:rsid w:val="000939A9"/>
    <w:rsid w:val="00093DA7"/>
    <w:rsid w:val="000976D6"/>
    <w:rsid w:val="000B15D9"/>
    <w:rsid w:val="000B5146"/>
    <w:rsid w:val="000B62D6"/>
    <w:rsid w:val="000D4C6F"/>
    <w:rsid w:val="000E732A"/>
    <w:rsid w:val="00100E03"/>
    <w:rsid w:val="0010786D"/>
    <w:rsid w:val="00133DDF"/>
    <w:rsid w:val="001503B0"/>
    <w:rsid w:val="00151791"/>
    <w:rsid w:val="001612C1"/>
    <w:rsid w:val="00164FE4"/>
    <w:rsid w:val="001669F9"/>
    <w:rsid w:val="00174480"/>
    <w:rsid w:val="0017558B"/>
    <w:rsid w:val="00191C66"/>
    <w:rsid w:val="00196701"/>
    <w:rsid w:val="00197ED2"/>
    <w:rsid w:val="001C2A39"/>
    <w:rsid w:val="001D6097"/>
    <w:rsid w:val="001E700D"/>
    <w:rsid w:val="001F6C6B"/>
    <w:rsid w:val="00201AD0"/>
    <w:rsid w:val="002300EE"/>
    <w:rsid w:val="00231F99"/>
    <w:rsid w:val="002641F6"/>
    <w:rsid w:val="002679F2"/>
    <w:rsid w:val="00281005"/>
    <w:rsid w:val="002911DE"/>
    <w:rsid w:val="0029422F"/>
    <w:rsid w:val="00296D60"/>
    <w:rsid w:val="002A5686"/>
    <w:rsid w:val="002A5868"/>
    <w:rsid w:val="002C0507"/>
    <w:rsid w:val="002C0609"/>
    <w:rsid w:val="002C4CC0"/>
    <w:rsid w:val="002D090E"/>
    <w:rsid w:val="002D4756"/>
    <w:rsid w:val="002E060A"/>
    <w:rsid w:val="002E3560"/>
    <w:rsid w:val="002E4FA2"/>
    <w:rsid w:val="002E7F35"/>
    <w:rsid w:val="002F32D8"/>
    <w:rsid w:val="003064C4"/>
    <w:rsid w:val="003130B7"/>
    <w:rsid w:val="0032035D"/>
    <w:rsid w:val="003358F5"/>
    <w:rsid w:val="00335B11"/>
    <w:rsid w:val="00342776"/>
    <w:rsid w:val="0034299C"/>
    <w:rsid w:val="00350A20"/>
    <w:rsid w:val="00367120"/>
    <w:rsid w:val="00377F73"/>
    <w:rsid w:val="00393775"/>
    <w:rsid w:val="003A63CD"/>
    <w:rsid w:val="003A7F7F"/>
    <w:rsid w:val="003C5A50"/>
    <w:rsid w:val="003E05EC"/>
    <w:rsid w:val="003E2766"/>
    <w:rsid w:val="003E4794"/>
    <w:rsid w:val="003E5661"/>
    <w:rsid w:val="003E606F"/>
    <w:rsid w:val="003F6817"/>
    <w:rsid w:val="004137C5"/>
    <w:rsid w:val="00420C54"/>
    <w:rsid w:val="0042753D"/>
    <w:rsid w:val="004472FF"/>
    <w:rsid w:val="00450E07"/>
    <w:rsid w:val="004660A9"/>
    <w:rsid w:val="00467422"/>
    <w:rsid w:val="00470E4A"/>
    <w:rsid w:val="00480DA3"/>
    <w:rsid w:val="004842FA"/>
    <w:rsid w:val="0049368A"/>
    <w:rsid w:val="004B3140"/>
    <w:rsid w:val="004B6F21"/>
    <w:rsid w:val="004D6EBD"/>
    <w:rsid w:val="004D7386"/>
    <w:rsid w:val="004E30FF"/>
    <w:rsid w:val="005005DC"/>
    <w:rsid w:val="00504AC2"/>
    <w:rsid w:val="0052300E"/>
    <w:rsid w:val="00546BB3"/>
    <w:rsid w:val="00554CE7"/>
    <w:rsid w:val="005578B7"/>
    <w:rsid w:val="00586CC8"/>
    <w:rsid w:val="00592420"/>
    <w:rsid w:val="00595310"/>
    <w:rsid w:val="005B1322"/>
    <w:rsid w:val="005B59B4"/>
    <w:rsid w:val="005C35EF"/>
    <w:rsid w:val="005D1489"/>
    <w:rsid w:val="005E7051"/>
    <w:rsid w:val="00601149"/>
    <w:rsid w:val="00604ACF"/>
    <w:rsid w:val="0062596A"/>
    <w:rsid w:val="006361DE"/>
    <w:rsid w:val="00644A2F"/>
    <w:rsid w:val="00647DD3"/>
    <w:rsid w:val="006807C3"/>
    <w:rsid w:val="006B3DA6"/>
    <w:rsid w:val="006B48A8"/>
    <w:rsid w:val="006C0D54"/>
    <w:rsid w:val="006E0070"/>
    <w:rsid w:val="006E45F2"/>
    <w:rsid w:val="006E6E5B"/>
    <w:rsid w:val="006F6D20"/>
    <w:rsid w:val="0073499B"/>
    <w:rsid w:val="00742E3E"/>
    <w:rsid w:val="00751358"/>
    <w:rsid w:val="00765481"/>
    <w:rsid w:val="00793676"/>
    <w:rsid w:val="007A085A"/>
    <w:rsid w:val="007C31C2"/>
    <w:rsid w:val="007D0ED5"/>
    <w:rsid w:val="007D3DAD"/>
    <w:rsid w:val="007E0B50"/>
    <w:rsid w:val="007E778B"/>
    <w:rsid w:val="007F1CC8"/>
    <w:rsid w:val="00806DBF"/>
    <w:rsid w:val="00815324"/>
    <w:rsid w:val="008162B4"/>
    <w:rsid w:val="008177DB"/>
    <w:rsid w:val="00823CA9"/>
    <w:rsid w:val="0086088D"/>
    <w:rsid w:val="00864DDD"/>
    <w:rsid w:val="008774B7"/>
    <w:rsid w:val="008800DB"/>
    <w:rsid w:val="00882B64"/>
    <w:rsid w:val="00884195"/>
    <w:rsid w:val="00885623"/>
    <w:rsid w:val="008A42F1"/>
    <w:rsid w:val="008B2E25"/>
    <w:rsid w:val="008B44A5"/>
    <w:rsid w:val="008E333C"/>
    <w:rsid w:val="008F31B3"/>
    <w:rsid w:val="008F4C6E"/>
    <w:rsid w:val="00903134"/>
    <w:rsid w:val="00912F4A"/>
    <w:rsid w:val="0092414E"/>
    <w:rsid w:val="0092509C"/>
    <w:rsid w:val="00925F5E"/>
    <w:rsid w:val="009474BD"/>
    <w:rsid w:val="00951022"/>
    <w:rsid w:val="00954416"/>
    <w:rsid w:val="009629DE"/>
    <w:rsid w:val="0096331D"/>
    <w:rsid w:val="00981E83"/>
    <w:rsid w:val="009844D2"/>
    <w:rsid w:val="009921F6"/>
    <w:rsid w:val="009A16C4"/>
    <w:rsid w:val="009A2D75"/>
    <w:rsid w:val="009A51E8"/>
    <w:rsid w:val="009A5949"/>
    <w:rsid w:val="009A621A"/>
    <w:rsid w:val="009B02FE"/>
    <w:rsid w:val="009B34CB"/>
    <w:rsid w:val="009D51EC"/>
    <w:rsid w:val="009D5C9A"/>
    <w:rsid w:val="009E0001"/>
    <w:rsid w:val="009E0BCA"/>
    <w:rsid w:val="009E6CB8"/>
    <w:rsid w:val="00A05549"/>
    <w:rsid w:val="00A1711A"/>
    <w:rsid w:val="00A21756"/>
    <w:rsid w:val="00A35190"/>
    <w:rsid w:val="00A5529B"/>
    <w:rsid w:val="00A64AC6"/>
    <w:rsid w:val="00A65123"/>
    <w:rsid w:val="00A81258"/>
    <w:rsid w:val="00A86C8C"/>
    <w:rsid w:val="00A879A3"/>
    <w:rsid w:val="00A87B53"/>
    <w:rsid w:val="00AA247D"/>
    <w:rsid w:val="00AB0323"/>
    <w:rsid w:val="00AB18CC"/>
    <w:rsid w:val="00AD53F7"/>
    <w:rsid w:val="00AE4086"/>
    <w:rsid w:val="00AF5C2F"/>
    <w:rsid w:val="00AF77DC"/>
    <w:rsid w:val="00B061E4"/>
    <w:rsid w:val="00B06FE6"/>
    <w:rsid w:val="00B203F0"/>
    <w:rsid w:val="00B22586"/>
    <w:rsid w:val="00B2629B"/>
    <w:rsid w:val="00B26E77"/>
    <w:rsid w:val="00B27019"/>
    <w:rsid w:val="00B27536"/>
    <w:rsid w:val="00B27A70"/>
    <w:rsid w:val="00B3089C"/>
    <w:rsid w:val="00B30955"/>
    <w:rsid w:val="00B34723"/>
    <w:rsid w:val="00B374A1"/>
    <w:rsid w:val="00B51279"/>
    <w:rsid w:val="00BA68EF"/>
    <w:rsid w:val="00BA6E1B"/>
    <w:rsid w:val="00BA7DDC"/>
    <w:rsid w:val="00BC595C"/>
    <w:rsid w:val="00BD388E"/>
    <w:rsid w:val="00C0578E"/>
    <w:rsid w:val="00C12EDD"/>
    <w:rsid w:val="00C3562C"/>
    <w:rsid w:val="00C471FA"/>
    <w:rsid w:val="00C511F3"/>
    <w:rsid w:val="00C65FEF"/>
    <w:rsid w:val="00C66AFF"/>
    <w:rsid w:val="00C90DF2"/>
    <w:rsid w:val="00CB1688"/>
    <w:rsid w:val="00CC4909"/>
    <w:rsid w:val="00CC7614"/>
    <w:rsid w:val="00CC766A"/>
    <w:rsid w:val="00CD5A86"/>
    <w:rsid w:val="00CF7E8E"/>
    <w:rsid w:val="00D15CE4"/>
    <w:rsid w:val="00D336B8"/>
    <w:rsid w:val="00D3456E"/>
    <w:rsid w:val="00D34DDC"/>
    <w:rsid w:val="00D421C5"/>
    <w:rsid w:val="00D43919"/>
    <w:rsid w:val="00D52501"/>
    <w:rsid w:val="00D565CC"/>
    <w:rsid w:val="00D64562"/>
    <w:rsid w:val="00D6631E"/>
    <w:rsid w:val="00D8171C"/>
    <w:rsid w:val="00D906E6"/>
    <w:rsid w:val="00D90A62"/>
    <w:rsid w:val="00DB06F8"/>
    <w:rsid w:val="00DB5D24"/>
    <w:rsid w:val="00DC7A3F"/>
    <w:rsid w:val="00DD30A9"/>
    <w:rsid w:val="00DD5E72"/>
    <w:rsid w:val="00DF209E"/>
    <w:rsid w:val="00E2695A"/>
    <w:rsid w:val="00E30655"/>
    <w:rsid w:val="00E741A5"/>
    <w:rsid w:val="00E86E6F"/>
    <w:rsid w:val="00E914F1"/>
    <w:rsid w:val="00E92B30"/>
    <w:rsid w:val="00EB6856"/>
    <w:rsid w:val="00EC7852"/>
    <w:rsid w:val="00ED72EC"/>
    <w:rsid w:val="00EE58A2"/>
    <w:rsid w:val="00EE6739"/>
    <w:rsid w:val="00EE7793"/>
    <w:rsid w:val="00EF23B4"/>
    <w:rsid w:val="00F00F78"/>
    <w:rsid w:val="00F01627"/>
    <w:rsid w:val="00F05400"/>
    <w:rsid w:val="00F07BB2"/>
    <w:rsid w:val="00F31D38"/>
    <w:rsid w:val="00F43131"/>
    <w:rsid w:val="00F734E7"/>
    <w:rsid w:val="00F77675"/>
    <w:rsid w:val="00F80D84"/>
    <w:rsid w:val="00F869C2"/>
    <w:rsid w:val="00F94511"/>
    <w:rsid w:val="00FB1009"/>
    <w:rsid w:val="00FD0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CEB7F"/>
  <w15:chartTrackingRefBased/>
  <w15:docId w15:val="{0D006324-7134-4247-AC50-6A2D4F97B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5D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Footnote Text Char1,Footnote Text Char Char,Footnote Text Char1 Char Char,Footnote Text Char Char Char Char,Footnote Text Char1 Char Char1 Char Char,Footnote Text Char Char Char Char1 Char Char,ft Char Char Char Char Char Char"/>
    <w:basedOn w:val="Normal"/>
    <w:link w:val="FootnoteTextChar"/>
    <w:unhideWhenUsed/>
    <w:qFormat/>
    <w:rsid w:val="00DB5D24"/>
    <w:rPr>
      <w:rFonts w:asciiTheme="minorHAnsi" w:hAnsiTheme="minorHAnsi" w:cstheme="minorBidi"/>
    </w:rPr>
  </w:style>
  <w:style w:type="character" w:customStyle="1" w:styleId="FootnoteTextChar">
    <w:name w:val="Footnote Text Char"/>
    <w:aliases w:val="5_G Char,Footnote Text Char1 Char,Footnote Text Char Char Char,Footnote Text Char1 Char Char Char,Footnote Text Char Char Char Char Char,Footnote Text Char1 Char Char1 Char Char Char,Footnote Text Char Char Char Char1 Char Char Char"/>
    <w:basedOn w:val="DefaultParagraphFont"/>
    <w:link w:val="FootnoteText"/>
    <w:rsid w:val="00DB5D24"/>
  </w:style>
  <w:style w:type="character" w:styleId="FootnoteReference">
    <w:name w:val="footnote reference"/>
    <w:aliases w:val="4_G,Footnotes refss,ftref,BVI fnr,BVI fnr Car Car,BVI fnr Car,BVI fnr Car Car Car Car,BVI fnr Char Car Car Car,BVI fnr Char Car Car Car Char,BVI fnr Car Car Car Car Char Char,BVI fnr Car Car Car Car Char Char Char Char Char,16 Point"/>
    <w:basedOn w:val="DefaultParagraphFont"/>
    <w:unhideWhenUsed/>
    <w:qFormat/>
    <w:rsid w:val="00DB5D24"/>
    <w:rPr>
      <w:vertAlign w:val="superscript"/>
    </w:rPr>
  </w:style>
  <w:style w:type="paragraph" w:styleId="ListParagraph">
    <w:name w:val="List Paragraph"/>
    <w:basedOn w:val="Normal"/>
    <w:uiPriority w:val="34"/>
    <w:qFormat/>
    <w:rsid w:val="005B59B4"/>
    <w:pPr>
      <w:ind w:left="720"/>
      <w:contextualSpacing/>
    </w:pPr>
    <w:rPr>
      <w:rFonts w:asciiTheme="minorHAnsi" w:eastAsiaTheme="minorHAnsi" w:hAnsiTheme="minorHAnsi" w:cstheme="minorBidi"/>
    </w:rPr>
  </w:style>
  <w:style w:type="paragraph" w:customStyle="1" w:styleId="MediumGrid1-Accent21">
    <w:name w:val="Medium Grid 1 - Accent 21"/>
    <w:basedOn w:val="Normal"/>
    <w:uiPriority w:val="34"/>
    <w:qFormat/>
    <w:rsid w:val="005B59B4"/>
    <w:pPr>
      <w:spacing w:before="120" w:after="200" w:line="276" w:lineRule="auto"/>
      <w:ind w:left="720"/>
      <w:contextualSpacing/>
    </w:pPr>
    <w:rPr>
      <w:rFonts w:eastAsia="Calibri"/>
    </w:rPr>
  </w:style>
  <w:style w:type="character" w:styleId="Hyperlink">
    <w:name w:val="Hyperlink"/>
    <w:basedOn w:val="DefaultParagraphFont"/>
    <w:unhideWhenUsed/>
    <w:rsid w:val="005B59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19403">
      <w:bodyDiv w:val="1"/>
      <w:marLeft w:val="0"/>
      <w:marRight w:val="0"/>
      <w:marTop w:val="0"/>
      <w:marBottom w:val="0"/>
      <w:divBdr>
        <w:top w:val="none" w:sz="0" w:space="0" w:color="auto"/>
        <w:left w:val="none" w:sz="0" w:space="0" w:color="auto"/>
        <w:bottom w:val="none" w:sz="0" w:space="0" w:color="auto"/>
        <w:right w:val="none" w:sz="0" w:space="0" w:color="auto"/>
      </w:divBdr>
    </w:div>
    <w:div w:id="260646768">
      <w:bodyDiv w:val="1"/>
      <w:marLeft w:val="0"/>
      <w:marRight w:val="0"/>
      <w:marTop w:val="0"/>
      <w:marBottom w:val="0"/>
      <w:divBdr>
        <w:top w:val="none" w:sz="0" w:space="0" w:color="auto"/>
        <w:left w:val="none" w:sz="0" w:space="0" w:color="auto"/>
        <w:bottom w:val="none" w:sz="0" w:space="0" w:color="auto"/>
        <w:right w:val="none" w:sz="0" w:space="0" w:color="auto"/>
      </w:divBdr>
    </w:div>
    <w:div w:id="359745836">
      <w:bodyDiv w:val="1"/>
      <w:marLeft w:val="0"/>
      <w:marRight w:val="0"/>
      <w:marTop w:val="0"/>
      <w:marBottom w:val="0"/>
      <w:divBdr>
        <w:top w:val="none" w:sz="0" w:space="0" w:color="auto"/>
        <w:left w:val="none" w:sz="0" w:space="0" w:color="auto"/>
        <w:bottom w:val="none" w:sz="0" w:space="0" w:color="auto"/>
        <w:right w:val="none" w:sz="0" w:space="0" w:color="auto"/>
      </w:divBdr>
    </w:div>
    <w:div w:id="464003749">
      <w:bodyDiv w:val="1"/>
      <w:marLeft w:val="0"/>
      <w:marRight w:val="0"/>
      <w:marTop w:val="0"/>
      <w:marBottom w:val="0"/>
      <w:divBdr>
        <w:top w:val="none" w:sz="0" w:space="0" w:color="auto"/>
        <w:left w:val="none" w:sz="0" w:space="0" w:color="auto"/>
        <w:bottom w:val="none" w:sz="0" w:space="0" w:color="auto"/>
        <w:right w:val="none" w:sz="0" w:space="0" w:color="auto"/>
      </w:divBdr>
    </w:div>
    <w:div w:id="498158247">
      <w:bodyDiv w:val="1"/>
      <w:marLeft w:val="0"/>
      <w:marRight w:val="0"/>
      <w:marTop w:val="0"/>
      <w:marBottom w:val="0"/>
      <w:divBdr>
        <w:top w:val="none" w:sz="0" w:space="0" w:color="auto"/>
        <w:left w:val="none" w:sz="0" w:space="0" w:color="auto"/>
        <w:bottom w:val="none" w:sz="0" w:space="0" w:color="auto"/>
        <w:right w:val="none" w:sz="0" w:space="0" w:color="auto"/>
      </w:divBdr>
    </w:div>
    <w:div w:id="577256112">
      <w:bodyDiv w:val="1"/>
      <w:marLeft w:val="0"/>
      <w:marRight w:val="0"/>
      <w:marTop w:val="0"/>
      <w:marBottom w:val="0"/>
      <w:divBdr>
        <w:top w:val="none" w:sz="0" w:space="0" w:color="auto"/>
        <w:left w:val="none" w:sz="0" w:space="0" w:color="auto"/>
        <w:bottom w:val="none" w:sz="0" w:space="0" w:color="auto"/>
        <w:right w:val="none" w:sz="0" w:space="0" w:color="auto"/>
      </w:divBdr>
    </w:div>
    <w:div w:id="655452706">
      <w:bodyDiv w:val="1"/>
      <w:marLeft w:val="0"/>
      <w:marRight w:val="0"/>
      <w:marTop w:val="0"/>
      <w:marBottom w:val="0"/>
      <w:divBdr>
        <w:top w:val="none" w:sz="0" w:space="0" w:color="auto"/>
        <w:left w:val="none" w:sz="0" w:space="0" w:color="auto"/>
        <w:bottom w:val="none" w:sz="0" w:space="0" w:color="auto"/>
        <w:right w:val="none" w:sz="0" w:space="0" w:color="auto"/>
      </w:divBdr>
    </w:div>
    <w:div w:id="691608008">
      <w:bodyDiv w:val="1"/>
      <w:marLeft w:val="0"/>
      <w:marRight w:val="0"/>
      <w:marTop w:val="0"/>
      <w:marBottom w:val="0"/>
      <w:divBdr>
        <w:top w:val="none" w:sz="0" w:space="0" w:color="auto"/>
        <w:left w:val="none" w:sz="0" w:space="0" w:color="auto"/>
        <w:bottom w:val="none" w:sz="0" w:space="0" w:color="auto"/>
        <w:right w:val="none" w:sz="0" w:space="0" w:color="auto"/>
      </w:divBdr>
    </w:div>
    <w:div w:id="695740085">
      <w:bodyDiv w:val="1"/>
      <w:marLeft w:val="0"/>
      <w:marRight w:val="0"/>
      <w:marTop w:val="0"/>
      <w:marBottom w:val="0"/>
      <w:divBdr>
        <w:top w:val="none" w:sz="0" w:space="0" w:color="auto"/>
        <w:left w:val="none" w:sz="0" w:space="0" w:color="auto"/>
        <w:bottom w:val="none" w:sz="0" w:space="0" w:color="auto"/>
        <w:right w:val="none" w:sz="0" w:space="0" w:color="auto"/>
      </w:divBdr>
    </w:div>
    <w:div w:id="702680199">
      <w:bodyDiv w:val="1"/>
      <w:marLeft w:val="0"/>
      <w:marRight w:val="0"/>
      <w:marTop w:val="0"/>
      <w:marBottom w:val="0"/>
      <w:divBdr>
        <w:top w:val="none" w:sz="0" w:space="0" w:color="auto"/>
        <w:left w:val="none" w:sz="0" w:space="0" w:color="auto"/>
        <w:bottom w:val="none" w:sz="0" w:space="0" w:color="auto"/>
        <w:right w:val="none" w:sz="0" w:space="0" w:color="auto"/>
      </w:divBdr>
    </w:div>
    <w:div w:id="765924175">
      <w:bodyDiv w:val="1"/>
      <w:marLeft w:val="0"/>
      <w:marRight w:val="0"/>
      <w:marTop w:val="0"/>
      <w:marBottom w:val="0"/>
      <w:divBdr>
        <w:top w:val="none" w:sz="0" w:space="0" w:color="auto"/>
        <w:left w:val="none" w:sz="0" w:space="0" w:color="auto"/>
        <w:bottom w:val="none" w:sz="0" w:space="0" w:color="auto"/>
        <w:right w:val="none" w:sz="0" w:space="0" w:color="auto"/>
      </w:divBdr>
    </w:div>
    <w:div w:id="772018591">
      <w:bodyDiv w:val="1"/>
      <w:marLeft w:val="0"/>
      <w:marRight w:val="0"/>
      <w:marTop w:val="0"/>
      <w:marBottom w:val="0"/>
      <w:divBdr>
        <w:top w:val="none" w:sz="0" w:space="0" w:color="auto"/>
        <w:left w:val="none" w:sz="0" w:space="0" w:color="auto"/>
        <w:bottom w:val="none" w:sz="0" w:space="0" w:color="auto"/>
        <w:right w:val="none" w:sz="0" w:space="0" w:color="auto"/>
      </w:divBdr>
    </w:div>
    <w:div w:id="1323781164">
      <w:bodyDiv w:val="1"/>
      <w:marLeft w:val="0"/>
      <w:marRight w:val="0"/>
      <w:marTop w:val="0"/>
      <w:marBottom w:val="0"/>
      <w:divBdr>
        <w:top w:val="none" w:sz="0" w:space="0" w:color="auto"/>
        <w:left w:val="none" w:sz="0" w:space="0" w:color="auto"/>
        <w:bottom w:val="none" w:sz="0" w:space="0" w:color="auto"/>
        <w:right w:val="none" w:sz="0" w:space="0" w:color="auto"/>
      </w:divBdr>
    </w:div>
    <w:div w:id="1332026545">
      <w:bodyDiv w:val="1"/>
      <w:marLeft w:val="0"/>
      <w:marRight w:val="0"/>
      <w:marTop w:val="0"/>
      <w:marBottom w:val="0"/>
      <w:divBdr>
        <w:top w:val="none" w:sz="0" w:space="0" w:color="auto"/>
        <w:left w:val="none" w:sz="0" w:space="0" w:color="auto"/>
        <w:bottom w:val="none" w:sz="0" w:space="0" w:color="auto"/>
        <w:right w:val="none" w:sz="0" w:space="0" w:color="auto"/>
      </w:divBdr>
    </w:div>
    <w:div w:id="1334530748">
      <w:bodyDiv w:val="1"/>
      <w:marLeft w:val="0"/>
      <w:marRight w:val="0"/>
      <w:marTop w:val="0"/>
      <w:marBottom w:val="0"/>
      <w:divBdr>
        <w:top w:val="none" w:sz="0" w:space="0" w:color="auto"/>
        <w:left w:val="none" w:sz="0" w:space="0" w:color="auto"/>
        <w:bottom w:val="none" w:sz="0" w:space="0" w:color="auto"/>
        <w:right w:val="none" w:sz="0" w:space="0" w:color="auto"/>
      </w:divBdr>
    </w:div>
    <w:div w:id="1462575739">
      <w:bodyDiv w:val="1"/>
      <w:marLeft w:val="0"/>
      <w:marRight w:val="0"/>
      <w:marTop w:val="0"/>
      <w:marBottom w:val="0"/>
      <w:divBdr>
        <w:top w:val="none" w:sz="0" w:space="0" w:color="auto"/>
        <w:left w:val="none" w:sz="0" w:space="0" w:color="auto"/>
        <w:bottom w:val="none" w:sz="0" w:space="0" w:color="auto"/>
        <w:right w:val="none" w:sz="0" w:space="0" w:color="auto"/>
      </w:divBdr>
    </w:div>
    <w:div w:id="1544750256">
      <w:bodyDiv w:val="1"/>
      <w:marLeft w:val="0"/>
      <w:marRight w:val="0"/>
      <w:marTop w:val="0"/>
      <w:marBottom w:val="0"/>
      <w:divBdr>
        <w:top w:val="none" w:sz="0" w:space="0" w:color="auto"/>
        <w:left w:val="none" w:sz="0" w:space="0" w:color="auto"/>
        <w:bottom w:val="none" w:sz="0" w:space="0" w:color="auto"/>
        <w:right w:val="none" w:sz="0" w:space="0" w:color="auto"/>
      </w:divBdr>
    </w:div>
    <w:div w:id="1598057610">
      <w:bodyDiv w:val="1"/>
      <w:marLeft w:val="0"/>
      <w:marRight w:val="0"/>
      <w:marTop w:val="0"/>
      <w:marBottom w:val="0"/>
      <w:divBdr>
        <w:top w:val="none" w:sz="0" w:space="0" w:color="auto"/>
        <w:left w:val="none" w:sz="0" w:space="0" w:color="auto"/>
        <w:bottom w:val="none" w:sz="0" w:space="0" w:color="auto"/>
        <w:right w:val="none" w:sz="0" w:space="0" w:color="auto"/>
      </w:divBdr>
    </w:div>
    <w:div w:id="1609965337">
      <w:bodyDiv w:val="1"/>
      <w:marLeft w:val="0"/>
      <w:marRight w:val="0"/>
      <w:marTop w:val="0"/>
      <w:marBottom w:val="0"/>
      <w:divBdr>
        <w:top w:val="none" w:sz="0" w:space="0" w:color="auto"/>
        <w:left w:val="none" w:sz="0" w:space="0" w:color="auto"/>
        <w:bottom w:val="none" w:sz="0" w:space="0" w:color="auto"/>
        <w:right w:val="none" w:sz="0" w:space="0" w:color="auto"/>
      </w:divBdr>
    </w:div>
    <w:div w:id="1719472540">
      <w:bodyDiv w:val="1"/>
      <w:marLeft w:val="0"/>
      <w:marRight w:val="0"/>
      <w:marTop w:val="0"/>
      <w:marBottom w:val="0"/>
      <w:divBdr>
        <w:top w:val="none" w:sz="0" w:space="0" w:color="auto"/>
        <w:left w:val="none" w:sz="0" w:space="0" w:color="auto"/>
        <w:bottom w:val="none" w:sz="0" w:space="0" w:color="auto"/>
        <w:right w:val="none" w:sz="0" w:space="0" w:color="auto"/>
      </w:divBdr>
    </w:div>
    <w:div w:id="1904370798">
      <w:bodyDiv w:val="1"/>
      <w:marLeft w:val="0"/>
      <w:marRight w:val="0"/>
      <w:marTop w:val="0"/>
      <w:marBottom w:val="0"/>
      <w:divBdr>
        <w:top w:val="none" w:sz="0" w:space="0" w:color="auto"/>
        <w:left w:val="none" w:sz="0" w:space="0" w:color="auto"/>
        <w:bottom w:val="none" w:sz="0" w:space="0" w:color="auto"/>
        <w:right w:val="none" w:sz="0" w:space="0" w:color="auto"/>
      </w:divBdr>
    </w:div>
    <w:div w:id="1909799653">
      <w:bodyDiv w:val="1"/>
      <w:marLeft w:val="0"/>
      <w:marRight w:val="0"/>
      <w:marTop w:val="0"/>
      <w:marBottom w:val="0"/>
      <w:divBdr>
        <w:top w:val="none" w:sz="0" w:space="0" w:color="auto"/>
        <w:left w:val="none" w:sz="0" w:space="0" w:color="auto"/>
        <w:bottom w:val="none" w:sz="0" w:space="0" w:color="auto"/>
        <w:right w:val="none" w:sz="0" w:space="0" w:color="auto"/>
      </w:divBdr>
    </w:div>
    <w:div w:id="1915772507">
      <w:bodyDiv w:val="1"/>
      <w:marLeft w:val="0"/>
      <w:marRight w:val="0"/>
      <w:marTop w:val="0"/>
      <w:marBottom w:val="0"/>
      <w:divBdr>
        <w:top w:val="none" w:sz="0" w:space="0" w:color="auto"/>
        <w:left w:val="none" w:sz="0" w:space="0" w:color="auto"/>
        <w:bottom w:val="none" w:sz="0" w:space="0" w:color="auto"/>
        <w:right w:val="none" w:sz="0" w:space="0" w:color="auto"/>
      </w:divBdr>
    </w:div>
    <w:div w:id="1940218556">
      <w:bodyDiv w:val="1"/>
      <w:marLeft w:val="0"/>
      <w:marRight w:val="0"/>
      <w:marTop w:val="0"/>
      <w:marBottom w:val="0"/>
      <w:divBdr>
        <w:top w:val="none" w:sz="0" w:space="0" w:color="auto"/>
        <w:left w:val="none" w:sz="0" w:space="0" w:color="auto"/>
        <w:bottom w:val="none" w:sz="0" w:space="0" w:color="auto"/>
        <w:right w:val="none" w:sz="0" w:space="0" w:color="auto"/>
      </w:divBdr>
    </w:div>
    <w:div w:id="2074498627">
      <w:bodyDiv w:val="1"/>
      <w:marLeft w:val="0"/>
      <w:marRight w:val="0"/>
      <w:marTop w:val="0"/>
      <w:marBottom w:val="0"/>
      <w:divBdr>
        <w:top w:val="none" w:sz="0" w:space="0" w:color="auto"/>
        <w:left w:val="none" w:sz="0" w:space="0" w:color="auto"/>
        <w:bottom w:val="none" w:sz="0" w:space="0" w:color="auto"/>
        <w:right w:val="none" w:sz="0" w:space="0" w:color="auto"/>
      </w:divBdr>
    </w:div>
    <w:div w:id="213182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charts/_rels/chart1.xml.rels><?xml version="1.0" encoding="UTF-8" standalone="yes"?>
<Relationships xmlns="http://schemas.openxmlformats.org/package/2006/relationships"><Relationship Id="rId3" Type="http://schemas.openxmlformats.org/officeDocument/2006/relationships/oleObject" Target="file:///\\Users\katarinastanic\Downloads\Stopa%20odustajanja%20od%20s&#780;kolovanja%20u%20srednjem%20obrazovanju%20%20Procenat-3.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tx>
            <c:strRef>
              <c:f>Table!$E$1</c:f>
              <c:strCache>
                <c:ptCount val="1"/>
                <c:pt idx="0">
                  <c:v>Bač</c:v>
                </c:pt>
              </c:strCache>
            </c:strRef>
          </c:tx>
          <c:spPr>
            <a:solidFill>
              <a:schemeClr val="accent3"/>
            </a:solidFill>
            <a:ln>
              <a:noFill/>
            </a:ln>
            <a:effectLst/>
          </c:spPr>
          <c:invertIfNegative val="0"/>
          <c:cat>
            <c:numRef>
              <c:f>Table!$A$3:$A$12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Table!$E$3:$E$12</c:f>
              <c:numCache>
                <c:formatCode>General</c:formatCode>
                <c:ptCount val="10"/>
                <c:pt idx="0">
                  <c:v>4.8</c:v>
                </c:pt>
                <c:pt idx="1">
                  <c:v>4.8</c:v>
                </c:pt>
                <c:pt idx="2">
                  <c:v>5.9</c:v>
                </c:pt>
                <c:pt idx="3">
                  <c:v>0</c:v>
                </c:pt>
                <c:pt idx="4">
                  <c:v>2.6</c:v>
                </c:pt>
                <c:pt idx="5">
                  <c:v>0</c:v>
                </c:pt>
                <c:pt idx="6">
                  <c:v>0</c:v>
                </c:pt>
                <c:pt idx="7">
                  <c:v>-1.9</c:v>
                </c:pt>
                <c:pt idx="8">
                  <c:v>0</c:v>
                </c:pt>
                <c:pt idx="9">
                  <c:v>-2.9</c:v>
                </c:pt>
              </c:numCache>
            </c:numRef>
          </c:val>
          <c:extLst>
            <c:ext xmlns:c16="http://schemas.microsoft.com/office/drawing/2014/chart" uri="{C3380CC4-5D6E-409C-BE32-E72D297353CC}">
              <c16:uniqueId val="{00000000-46A5-5143-8ED9-F55EC4E8A8B0}"/>
            </c:ext>
          </c:extLst>
        </c:ser>
        <c:dLbls>
          <c:showLegendKey val="0"/>
          <c:showVal val="0"/>
          <c:showCatName val="0"/>
          <c:showSerName val="0"/>
          <c:showPercent val="0"/>
          <c:showBubbleSize val="0"/>
        </c:dLbls>
        <c:gapWidth val="219"/>
        <c:overlap val="-27"/>
        <c:axId val="506690192"/>
        <c:axId val="509049264"/>
      </c:barChart>
      <c:lineChart>
        <c:grouping val="standard"/>
        <c:varyColors val="0"/>
        <c:ser>
          <c:idx val="0"/>
          <c:order val="0"/>
          <c:tx>
            <c:strRef>
              <c:f>Table!$C$1</c:f>
              <c:strCache>
                <c:ptCount val="1"/>
                <c:pt idx="0">
                  <c:v>REPUBLIKA SRBIJA</c:v>
                </c:pt>
              </c:strCache>
            </c:strRef>
          </c:tx>
          <c:spPr>
            <a:ln w="28575" cap="rnd">
              <a:solidFill>
                <a:schemeClr val="accent1"/>
              </a:solidFill>
              <a:round/>
            </a:ln>
            <a:effectLst/>
          </c:spPr>
          <c:marker>
            <c:symbol val="none"/>
          </c:marker>
          <c:val>
            <c:numRef>
              <c:f>Table!$C$3:$C$12</c:f>
              <c:numCache>
                <c:formatCode>General</c:formatCode>
                <c:ptCount val="10"/>
                <c:pt idx="0">
                  <c:v>1.6</c:v>
                </c:pt>
                <c:pt idx="1">
                  <c:v>1.4</c:v>
                </c:pt>
                <c:pt idx="2">
                  <c:v>1.7</c:v>
                </c:pt>
                <c:pt idx="3">
                  <c:v>1.6</c:v>
                </c:pt>
                <c:pt idx="4">
                  <c:v>1.2</c:v>
                </c:pt>
                <c:pt idx="5">
                  <c:v>1.3</c:v>
                </c:pt>
                <c:pt idx="6">
                  <c:v>1.1000000000000001</c:v>
                </c:pt>
                <c:pt idx="7">
                  <c:v>1.5</c:v>
                </c:pt>
                <c:pt idx="8">
                  <c:v>1.4</c:v>
                </c:pt>
                <c:pt idx="9">
                  <c:v>1.1000000000000001</c:v>
                </c:pt>
              </c:numCache>
            </c:numRef>
          </c:val>
          <c:smooth val="0"/>
          <c:extLst>
            <c:ext xmlns:c16="http://schemas.microsoft.com/office/drawing/2014/chart" uri="{C3380CC4-5D6E-409C-BE32-E72D297353CC}">
              <c16:uniqueId val="{00000001-46A5-5143-8ED9-F55EC4E8A8B0}"/>
            </c:ext>
          </c:extLst>
        </c:ser>
        <c:ser>
          <c:idx val="1"/>
          <c:order val="1"/>
          <c:tx>
            <c:strRef>
              <c:f>Table!$D$1</c:f>
              <c:strCache>
                <c:ptCount val="1"/>
                <c:pt idx="0">
                  <c:v>Južnobačka oblast</c:v>
                </c:pt>
              </c:strCache>
            </c:strRef>
          </c:tx>
          <c:spPr>
            <a:ln w="28575" cap="rnd">
              <a:solidFill>
                <a:schemeClr val="accent2"/>
              </a:solidFill>
              <a:round/>
            </a:ln>
            <a:effectLst/>
          </c:spPr>
          <c:marker>
            <c:symbol val="none"/>
          </c:marker>
          <c:val>
            <c:numRef>
              <c:f>Table!$D$3:$D$12</c:f>
              <c:numCache>
                <c:formatCode>General</c:formatCode>
                <c:ptCount val="10"/>
                <c:pt idx="0">
                  <c:v>1.9</c:v>
                </c:pt>
                <c:pt idx="1">
                  <c:v>0.5</c:v>
                </c:pt>
                <c:pt idx="2">
                  <c:v>1.7</c:v>
                </c:pt>
                <c:pt idx="3">
                  <c:v>1.3</c:v>
                </c:pt>
                <c:pt idx="4">
                  <c:v>0.9</c:v>
                </c:pt>
                <c:pt idx="5">
                  <c:v>1.7</c:v>
                </c:pt>
                <c:pt idx="6">
                  <c:v>1.6</c:v>
                </c:pt>
                <c:pt idx="7">
                  <c:v>1.4</c:v>
                </c:pt>
                <c:pt idx="8">
                  <c:v>1.7</c:v>
                </c:pt>
                <c:pt idx="9">
                  <c:v>2.1</c:v>
                </c:pt>
              </c:numCache>
            </c:numRef>
          </c:val>
          <c:smooth val="0"/>
          <c:extLst>
            <c:ext xmlns:c16="http://schemas.microsoft.com/office/drawing/2014/chart" uri="{C3380CC4-5D6E-409C-BE32-E72D297353CC}">
              <c16:uniqueId val="{00000002-46A5-5143-8ED9-F55EC4E8A8B0}"/>
            </c:ext>
          </c:extLst>
        </c:ser>
        <c:dLbls>
          <c:showLegendKey val="0"/>
          <c:showVal val="0"/>
          <c:showCatName val="0"/>
          <c:showSerName val="0"/>
          <c:showPercent val="0"/>
          <c:showBubbleSize val="0"/>
        </c:dLbls>
        <c:marker val="1"/>
        <c:smooth val="0"/>
        <c:axId val="506690192"/>
        <c:axId val="509049264"/>
      </c:lineChart>
      <c:catAx>
        <c:axId val="506690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09049264"/>
        <c:crosses val="autoZero"/>
        <c:auto val="1"/>
        <c:lblAlgn val="ctr"/>
        <c:lblOffset val="100"/>
        <c:noMultiLvlLbl val="0"/>
      </c:catAx>
      <c:valAx>
        <c:axId val="509049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06690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3070</Words>
  <Characters>17500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Stanic</dc:creator>
  <cp:keywords/>
  <dc:description/>
  <cp:lastModifiedBy>Jelena Kovačević</cp:lastModifiedBy>
  <cp:revision>2</cp:revision>
  <dcterms:created xsi:type="dcterms:W3CDTF">2021-04-26T05:53:00Z</dcterms:created>
  <dcterms:modified xsi:type="dcterms:W3CDTF">2021-04-26T05:53:00Z</dcterms:modified>
</cp:coreProperties>
</file>