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33AC" w14:textId="43BF97D3" w:rsidR="00D11B1C" w:rsidRPr="00F5183F" w:rsidRDefault="002243CB" w:rsidP="002243CB">
      <w:pPr>
        <w:jc w:val="center"/>
        <w:rPr>
          <w:rFonts w:asciiTheme="minorHAnsi" w:hAnsiTheme="minorHAnsi" w:cstheme="minorHAnsi"/>
          <w:b/>
          <w:sz w:val="28"/>
          <w:szCs w:val="28"/>
          <w:lang w:val="sr-Latn-RS"/>
        </w:rPr>
      </w:pPr>
      <w:r w:rsidRPr="00F5183F">
        <w:rPr>
          <w:rFonts w:asciiTheme="minorHAnsi" w:hAnsiTheme="minorHAnsi" w:cstheme="minorHAnsi"/>
          <w:b/>
          <w:sz w:val="28"/>
          <w:szCs w:val="28"/>
          <w:lang w:val="sr-Latn-RS"/>
        </w:rPr>
        <w:t>BAČ</w:t>
      </w:r>
    </w:p>
    <w:p w14:paraId="271C103F" w14:textId="2E0159F7" w:rsidR="005951F8" w:rsidRPr="00F5183F" w:rsidRDefault="005951F8" w:rsidP="005951F8">
      <w:pPr>
        <w:spacing w:after="120" w:line="276" w:lineRule="auto"/>
        <w:rPr>
          <w:rFonts w:asciiTheme="minorHAnsi" w:hAnsiTheme="minorHAnsi" w:cstheme="minorHAnsi"/>
          <w:lang w:val="sr-Latn-RS"/>
        </w:rPr>
      </w:pPr>
    </w:p>
    <w:p w14:paraId="63C42B65" w14:textId="251FA84B" w:rsidR="002243CB" w:rsidRPr="00F5183F" w:rsidRDefault="002243CB" w:rsidP="000E0999">
      <w:pPr>
        <w:jc w:val="center"/>
        <w:rPr>
          <w:rFonts w:asciiTheme="minorHAnsi" w:hAnsiTheme="minorHAnsi"/>
          <w:b/>
          <w:smallCaps/>
          <w:sz w:val="28"/>
          <w:szCs w:val="28"/>
          <w:lang w:val="sr-Latn-RS"/>
        </w:rPr>
      </w:pPr>
      <w:r w:rsidRPr="00F5183F">
        <w:rPr>
          <w:rFonts w:asciiTheme="minorHAnsi" w:hAnsiTheme="minorHAnsi"/>
          <w:b/>
          <w:smallCaps/>
          <w:sz w:val="28"/>
          <w:szCs w:val="28"/>
          <w:lang w:val="sr-Latn-RS"/>
        </w:rPr>
        <w:t>SOCIJALNA ZAŠTITA</w:t>
      </w:r>
    </w:p>
    <w:p w14:paraId="77C1B8F9" w14:textId="77777777" w:rsidR="002243CB" w:rsidRPr="00F5183F" w:rsidRDefault="002243CB" w:rsidP="002243CB">
      <w:pPr>
        <w:rPr>
          <w:rFonts w:asciiTheme="minorHAnsi" w:hAnsiTheme="minorHAnsi" w:cstheme="minorHAnsi"/>
          <w:bCs/>
          <w:smallCaps/>
          <w:sz w:val="28"/>
          <w:szCs w:val="28"/>
          <w:lang w:val="sr-Latn-RS"/>
        </w:rPr>
      </w:pPr>
    </w:p>
    <w:p w14:paraId="5DE22F40" w14:textId="77777777" w:rsidR="002243CB" w:rsidRPr="00F5183F" w:rsidRDefault="002243CB" w:rsidP="002243CB">
      <w:pPr>
        <w:rPr>
          <w:rFonts w:asciiTheme="minorHAnsi" w:hAnsiTheme="minorHAnsi"/>
          <w:b/>
          <w:bCs/>
          <w:i/>
          <w:sz w:val="28"/>
          <w:szCs w:val="28"/>
          <w:lang w:val="sr-Latn-RS"/>
        </w:rPr>
      </w:pPr>
      <w:r w:rsidRPr="00F5183F">
        <w:rPr>
          <w:rFonts w:asciiTheme="minorHAnsi" w:hAnsiTheme="minorHAnsi"/>
          <w:b/>
          <w:bCs/>
          <w:i/>
          <w:sz w:val="28"/>
          <w:szCs w:val="28"/>
          <w:lang w:val="sr-Latn-RS"/>
        </w:rPr>
        <w:t xml:space="preserve">NOVČANA DAVANJA I USLUGE U NADLEŽNOSTI NACIONALNOG NIVOA </w:t>
      </w:r>
    </w:p>
    <w:p w14:paraId="493BA1C3" w14:textId="77777777" w:rsidR="002243CB" w:rsidRPr="00F5183F" w:rsidRDefault="002243CB" w:rsidP="002243CB">
      <w:pPr>
        <w:rPr>
          <w:rFonts w:asciiTheme="minorHAnsi" w:hAnsiTheme="minorHAnsi"/>
          <w:i/>
          <w:u w:val="single"/>
          <w:lang w:val="sr-Latn-RS"/>
        </w:rPr>
      </w:pPr>
    </w:p>
    <w:p w14:paraId="24DF53C6" w14:textId="426FE4BC" w:rsidR="00417FA3" w:rsidRPr="00F5183F" w:rsidRDefault="002243CB" w:rsidP="00417FA3">
      <w:pPr>
        <w:jc w:val="both"/>
        <w:rPr>
          <w:rFonts w:asciiTheme="minorHAnsi" w:hAnsiTheme="minorHAnsi"/>
          <w:iCs/>
          <w:lang w:val="sr-Latn-RS"/>
        </w:rPr>
      </w:pPr>
      <w:r w:rsidRPr="00F5183F">
        <w:rPr>
          <w:rFonts w:asciiTheme="minorHAnsi" w:hAnsiTheme="minorHAnsi"/>
          <w:iCs/>
          <w:lang w:val="sr-Latn-RS"/>
        </w:rPr>
        <w:t>U Srbiji je najveći deo socijalne zaštite u nadležnosti nacionalnog nivoa.</w:t>
      </w:r>
      <w:r w:rsidRPr="00F5183F">
        <w:rPr>
          <w:rStyle w:val="FootnoteReference"/>
          <w:rFonts w:asciiTheme="minorHAnsi" w:hAnsiTheme="minorHAnsi"/>
          <w:iCs/>
          <w:lang w:val="sr-Latn-RS"/>
        </w:rPr>
        <w:footnoteReference w:id="1"/>
      </w:r>
      <w:r w:rsidRPr="00F5183F">
        <w:rPr>
          <w:rFonts w:asciiTheme="minorHAnsi" w:hAnsiTheme="minorHAnsi"/>
          <w:iCs/>
          <w:lang w:val="sr-Latn-RS"/>
        </w:rPr>
        <w:t xml:space="preserve"> Među novčanim davanjima najznačajnija su davanja usmerena na siromašne: </w:t>
      </w:r>
      <w:r w:rsidRPr="005124BB">
        <w:rPr>
          <w:rFonts w:asciiTheme="minorHAnsi" w:hAnsiTheme="minorHAnsi"/>
          <w:iCs/>
          <w:highlight w:val="yellow"/>
          <w:lang w:val="sr-Latn-RS"/>
        </w:rPr>
        <w:t>novčana socijalna pomoć</w:t>
      </w:r>
      <w:r w:rsidRPr="00F5183F">
        <w:rPr>
          <w:rFonts w:asciiTheme="minorHAnsi" w:hAnsiTheme="minorHAnsi"/>
          <w:iCs/>
          <w:lang w:val="sr-Latn-RS"/>
        </w:rPr>
        <w:t xml:space="preserve"> (NSP) i </w:t>
      </w:r>
      <w:r w:rsidRPr="005124BB">
        <w:rPr>
          <w:rFonts w:asciiTheme="minorHAnsi" w:hAnsiTheme="minorHAnsi"/>
          <w:iCs/>
          <w:highlight w:val="yellow"/>
          <w:lang w:val="sr-Latn-RS"/>
        </w:rPr>
        <w:t>dečiji dodatak</w:t>
      </w:r>
      <w:r w:rsidRPr="00F5183F">
        <w:rPr>
          <w:rFonts w:asciiTheme="minorHAnsi" w:hAnsiTheme="minorHAnsi"/>
          <w:iCs/>
          <w:lang w:val="sr-Latn-RS"/>
        </w:rPr>
        <w:t xml:space="preserve"> (DD), kao i kategorijska davanja za pomoć i negu drugog lica namenjena starima i </w:t>
      </w:r>
      <w:r w:rsidRPr="005124BB">
        <w:rPr>
          <w:rFonts w:asciiTheme="minorHAnsi" w:hAnsiTheme="minorHAnsi"/>
          <w:iCs/>
          <w:highlight w:val="yellow"/>
          <w:lang w:val="sr-Latn-RS"/>
        </w:rPr>
        <w:t>osobama sa invaliditetom</w:t>
      </w:r>
      <w:r w:rsidRPr="00F5183F">
        <w:rPr>
          <w:rFonts w:asciiTheme="minorHAnsi" w:hAnsiTheme="minorHAnsi"/>
          <w:iCs/>
          <w:lang w:val="sr-Latn-RS"/>
        </w:rPr>
        <w:t xml:space="preserve"> (dodatak i uvećani dodatak). Od naknada iz socijalnog osiguranja poseban značaj imaju </w:t>
      </w:r>
      <w:r w:rsidRPr="005124BB">
        <w:rPr>
          <w:rFonts w:asciiTheme="minorHAnsi" w:hAnsiTheme="minorHAnsi"/>
          <w:iCs/>
          <w:highlight w:val="yellow"/>
          <w:lang w:val="sr-Latn-RS"/>
        </w:rPr>
        <w:t>penzije</w:t>
      </w:r>
      <w:r w:rsidRPr="00F5183F">
        <w:rPr>
          <w:rFonts w:asciiTheme="minorHAnsi" w:hAnsiTheme="minorHAnsi"/>
          <w:iCs/>
          <w:lang w:val="sr-Latn-RS"/>
        </w:rPr>
        <w:t xml:space="preserve"> koje predstavljaju važan izvor dohotka domaćinstva u Srbiji. I najrasprostranjenije usluge socijalne zaštite, </w:t>
      </w:r>
      <w:r w:rsidRPr="00D449FF">
        <w:rPr>
          <w:rFonts w:asciiTheme="minorHAnsi" w:hAnsiTheme="minorHAnsi"/>
          <w:iCs/>
          <w:highlight w:val="yellow"/>
          <w:lang w:val="sr-Latn-RS"/>
        </w:rPr>
        <w:t>usluge smeštaja</w:t>
      </w:r>
      <w:r w:rsidR="00FB0646" w:rsidRPr="00F5183F">
        <w:rPr>
          <w:rFonts w:asciiTheme="minorHAnsi" w:hAnsiTheme="minorHAnsi"/>
          <w:iCs/>
          <w:lang w:val="sr-Latn-RS"/>
        </w:rPr>
        <w:t>,</w:t>
      </w:r>
      <w:r w:rsidRPr="00F5183F">
        <w:rPr>
          <w:rFonts w:asciiTheme="minorHAnsi" w:hAnsiTheme="minorHAnsi"/>
          <w:iCs/>
          <w:lang w:val="sr-Latn-RS"/>
        </w:rPr>
        <w:t xml:space="preserve"> su u nadležnosti Republike. </w:t>
      </w:r>
      <w:r w:rsidR="00417FA3" w:rsidRPr="00F5183F">
        <w:rPr>
          <w:rFonts w:asciiTheme="minorHAnsi" w:hAnsiTheme="minorHAnsi"/>
          <w:iCs/>
          <w:lang w:val="sr-Latn-RS"/>
        </w:rPr>
        <w:t>Kroz usluge procene i planiranja, na prava i usluge koji se ostvaruju po Zakonu o socijalnoj zaštiti</w:t>
      </w:r>
      <w:r w:rsidR="00417FA3" w:rsidRPr="00F5183F">
        <w:rPr>
          <w:rStyle w:val="FootnoteReference"/>
          <w:rFonts w:asciiTheme="minorHAnsi" w:hAnsiTheme="minorHAnsi"/>
          <w:iCs/>
          <w:lang w:val="sr-Latn-RS"/>
        </w:rPr>
        <w:footnoteReference w:id="2"/>
      </w:r>
      <w:r w:rsidR="00417FA3" w:rsidRPr="00F5183F">
        <w:rPr>
          <w:rFonts w:asciiTheme="minorHAnsi" w:hAnsiTheme="minorHAnsi"/>
          <w:iCs/>
          <w:lang w:val="sr-Latn-RS"/>
        </w:rPr>
        <w:t xml:space="preserve"> potencijalne korisnike upućuju centri za socijalni rad (CSR) </w:t>
      </w:r>
      <w:r w:rsidR="00C90ADE" w:rsidRPr="00F5183F">
        <w:rPr>
          <w:rFonts w:asciiTheme="minorHAnsi" w:hAnsiTheme="minorHAnsi"/>
          <w:iCs/>
          <w:lang w:val="sr-Latn-RS"/>
        </w:rPr>
        <w:t xml:space="preserve">na lokalnom nivou </w:t>
      </w:r>
      <w:r w:rsidR="00417FA3" w:rsidRPr="00F5183F">
        <w:rPr>
          <w:rFonts w:asciiTheme="minorHAnsi" w:hAnsiTheme="minorHAnsi"/>
          <w:iCs/>
          <w:lang w:val="sr-Latn-RS"/>
        </w:rPr>
        <w:t>koji vrše i ulogu organa starateljstva, a dečiji dodatak administriraju opštinske službe lokalnih samouprava.</w:t>
      </w:r>
    </w:p>
    <w:p w14:paraId="04E51786" w14:textId="77777777" w:rsidR="002243CB" w:rsidRPr="00F5183F" w:rsidRDefault="002243CB" w:rsidP="005951F8">
      <w:pPr>
        <w:spacing w:after="120" w:line="276" w:lineRule="auto"/>
        <w:rPr>
          <w:rFonts w:asciiTheme="minorHAnsi" w:hAnsiTheme="minorHAnsi" w:cstheme="minorHAnsi"/>
          <w:lang w:val="sr-Latn-RS"/>
        </w:rPr>
      </w:pPr>
    </w:p>
    <w:p w14:paraId="519EA411" w14:textId="30C7E9F8" w:rsidR="00522A00" w:rsidRPr="00F5183F" w:rsidRDefault="00BB1F98" w:rsidP="00522A00">
      <w:pPr>
        <w:jc w:val="both"/>
        <w:rPr>
          <w:rFonts w:asciiTheme="minorHAnsi" w:hAnsiTheme="minorHAnsi" w:cstheme="minorHAnsi"/>
          <w:b/>
          <w:i/>
          <w:color w:val="000000" w:themeColor="text1"/>
          <w:lang w:val="sr-Latn-RS"/>
        </w:rPr>
      </w:pPr>
      <w:r w:rsidRPr="00F5183F">
        <w:rPr>
          <w:rFonts w:asciiTheme="minorHAnsi" w:hAnsiTheme="minorHAnsi" w:cstheme="minorHAnsi"/>
          <w:b/>
          <w:i/>
          <w:color w:val="000000" w:themeColor="text1"/>
          <w:lang w:val="sr-Latn-RS"/>
        </w:rPr>
        <w:t xml:space="preserve">Obuhvat stanovništva programom NSP je relativno nizak i iznosi 2,6% </w:t>
      </w:r>
      <w:r w:rsidRPr="00F5183F">
        <w:rPr>
          <w:rFonts w:asciiTheme="minorHAnsi" w:hAnsiTheme="minorHAnsi" w:cstheme="minorHAnsi"/>
          <w:bCs/>
          <w:iCs/>
          <w:color w:val="000000" w:themeColor="text1"/>
          <w:lang w:val="sr-Latn-RS"/>
        </w:rPr>
        <w:t>(Tabela 1)</w:t>
      </w:r>
      <w:r w:rsidRPr="00F5183F">
        <w:rPr>
          <w:rFonts w:asciiTheme="minorHAnsi" w:hAnsiTheme="minorHAnsi" w:cstheme="minorHAnsi"/>
          <w:b/>
          <w:i/>
          <w:color w:val="000000" w:themeColor="text1"/>
          <w:lang w:val="sr-Latn-RS"/>
        </w:rPr>
        <w:t xml:space="preserve">. </w:t>
      </w:r>
      <w:r w:rsidR="002B57FA" w:rsidRPr="00F5183F">
        <w:rPr>
          <w:rFonts w:asciiTheme="minorHAnsi" w:hAnsiTheme="minorHAnsi" w:cstheme="minorHAnsi"/>
          <w:bCs/>
          <w:iCs/>
          <w:color w:val="000000" w:themeColor="text1"/>
          <w:lang w:val="sr-Latn-RS"/>
        </w:rPr>
        <w:t>N</w:t>
      </w:r>
      <w:r w:rsidR="001E235B" w:rsidRPr="00F5183F">
        <w:rPr>
          <w:rFonts w:asciiTheme="minorHAnsi" w:hAnsiTheme="minorHAnsi" w:cstheme="minorHAnsi"/>
          <w:bCs/>
          <w:iCs/>
          <w:color w:val="000000" w:themeColor="text1"/>
          <w:lang w:val="sr-Latn-RS"/>
        </w:rPr>
        <w:t>ovčanu socijalnu pomoć</w:t>
      </w:r>
      <w:r w:rsidR="002B57FA" w:rsidRPr="00F5183F">
        <w:rPr>
          <w:rFonts w:asciiTheme="minorHAnsi" w:hAnsiTheme="minorHAnsi" w:cstheme="minorHAnsi"/>
          <w:bCs/>
          <w:iCs/>
          <w:color w:val="000000" w:themeColor="text1"/>
          <w:lang w:val="sr-Latn-RS"/>
        </w:rPr>
        <w:t xml:space="preserve"> je 2019. godine </w:t>
      </w:r>
      <w:r w:rsidR="004C3F54" w:rsidRPr="00F5183F">
        <w:rPr>
          <w:rFonts w:asciiTheme="minorHAnsi" w:hAnsiTheme="minorHAnsi" w:cstheme="minorHAnsi"/>
          <w:bCs/>
          <w:iCs/>
          <w:color w:val="000000" w:themeColor="text1"/>
          <w:lang w:val="sr-Latn-RS"/>
        </w:rPr>
        <w:t>primalo</w:t>
      </w:r>
      <w:r w:rsidR="002B57FA" w:rsidRPr="00F5183F">
        <w:rPr>
          <w:rFonts w:asciiTheme="minorHAnsi" w:hAnsiTheme="minorHAnsi" w:cstheme="minorHAnsi"/>
          <w:bCs/>
          <w:iCs/>
          <w:color w:val="000000" w:themeColor="text1"/>
          <w:lang w:val="sr-Latn-RS"/>
        </w:rPr>
        <w:t xml:space="preserve"> </w:t>
      </w:r>
      <w:r w:rsidR="001E235B" w:rsidRPr="00F5183F">
        <w:rPr>
          <w:rFonts w:asciiTheme="minorHAnsi" w:hAnsiTheme="minorHAnsi" w:cstheme="minorHAnsi"/>
          <w:bCs/>
          <w:iCs/>
          <w:color w:val="000000" w:themeColor="text1"/>
          <w:lang w:val="sr-Latn-RS"/>
        </w:rPr>
        <w:t xml:space="preserve">346 stanovnika opštine Bač. </w:t>
      </w:r>
      <w:r w:rsidR="000B38EE" w:rsidRPr="00F5183F">
        <w:rPr>
          <w:rFonts w:asciiTheme="minorHAnsi" w:hAnsiTheme="minorHAnsi" w:cstheme="minorHAnsi"/>
          <w:bCs/>
          <w:iCs/>
          <w:color w:val="000000" w:themeColor="text1"/>
          <w:lang w:val="sr-Latn-RS"/>
        </w:rPr>
        <w:t xml:space="preserve">U </w:t>
      </w:r>
      <w:r w:rsidR="003B7362" w:rsidRPr="00F5183F">
        <w:rPr>
          <w:rFonts w:asciiTheme="minorHAnsi" w:hAnsiTheme="minorHAnsi" w:cstheme="minorHAnsi"/>
          <w:bCs/>
          <w:iCs/>
          <w:color w:val="000000" w:themeColor="text1"/>
          <w:lang w:val="sr-Latn-RS"/>
        </w:rPr>
        <w:t>periodu od</w:t>
      </w:r>
      <w:r w:rsidR="00445609" w:rsidRPr="00F5183F">
        <w:rPr>
          <w:rFonts w:asciiTheme="minorHAnsi" w:hAnsiTheme="minorHAnsi" w:cstheme="minorHAnsi"/>
          <w:bCs/>
          <w:iCs/>
          <w:color w:val="000000" w:themeColor="text1"/>
          <w:lang w:val="sr-Latn-RS"/>
        </w:rPr>
        <w:t xml:space="preserve"> </w:t>
      </w:r>
      <w:r w:rsidR="003B7362" w:rsidRPr="00F5183F">
        <w:rPr>
          <w:rFonts w:asciiTheme="minorHAnsi" w:hAnsiTheme="minorHAnsi" w:cstheme="minorHAnsi"/>
          <w:bCs/>
          <w:iCs/>
          <w:color w:val="000000" w:themeColor="text1"/>
          <w:lang w:val="sr-Latn-RS"/>
        </w:rPr>
        <w:t xml:space="preserve">2012. do 2019. godine broj </w:t>
      </w:r>
      <w:r w:rsidR="00532758" w:rsidRPr="00F5183F">
        <w:rPr>
          <w:rFonts w:asciiTheme="minorHAnsi" w:hAnsiTheme="minorHAnsi" w:cstheme="minorHAnsi"/>
          <w:bCs/>
          <w:iCs/>
          <w:color w:val="000000" w:themeColor="text1"/>
          <w:lang w:val="sr-Latn-RS"/>
        </w:rPr>
        <w:t>i</w:t>
      </w:r>
      <w:r w:rsidR="003B7362" w:rsidRPr="00F5183F">
        <w:rPr>
          <w:rFonts w:asciiTheme="minorHAnsi" w:hAnsiTheme="minorHAnsi" w:cstheme="minorHAnsi"/>
          <w:bCs/>
          <w:iCs/>
          <w:color w:val="000000" w:themeColor="text1"/>
          <w:lang w:val="sr-Latn-RS"/>
        </w:rPr>
        <w:t xml:space="preserve"> udeo pojedinaca koji su ostvarivali pravo na NSP </w:t>
      </w:r>
      <w:r w:rsidR="000B38EE" w:rsidRPr="00F5183F">
        <w:rPr>
          <w:rFonts w:asciiTheme="minorHAnsi" w:hAnsiTheme="minorHAnsi" w:cstheme="minorHAnsi"/>
          <w:bCs/>
          <w:iCs/>
          <w:color w:val="000000" w:themeColor="text1"/>
          <w:lang w:val="sr-Latn-RS"/>
        </w:rPr>
        <w:t xml:space="preserve">je </w:t>
      </w:r>
      <w:r w:rsidR="003B7362" w:rsidRPr="00F5183F">
        <w:rPr>
          <w:rFonts w:asciiTheme="minorHAnsi" w:hAnsiTheme="minorHAnsi" w:cstheme="minorHAnsi"/>
          <w:bCs/>
          <w:iCs/>
          <w:color w:val="000000" w:themeColor="text1"/>
          <w:lang w:val="sr-Latn-RS"/>
        </w:rPr>
        <w:t>rastao (Grafikon 1).</w:t>
      </w:r>
      <w:r w:rsidR="006354D2" w:rsidRPr="00F5183F">
        <w:rPr>
          <w:rFonts w:asciiTheme="minorHAnsi" w:hAnsiTheme="minorHAnsi" w:cstheme="minorHAnsi"/>
          <w:bCs/>
          <w:iCs/>
          <w:color w:val="000000" w:themeColor="text1"/>
          <w:lang w:val="sr-Latn-RS"/>
        </w:rPr>
        <w:t xml:space="preserve"> Ovakvo kretanje je u skladu sa pogoršanjem </w:t>
      </w:r>
      <w:r w:rsidR="005F18C6" w:rsidRPr="00F5183F">
        <w:rPr>
          <w:rFonts w:asciiTheme="minorHAnsi" w:hAnsiTheme="minorHAnsi" w:cstheme="minorHAnsi"/>
          <w:bCs/>
          <w:iCs/>
          <w:color w:val="000000" w:themeColor="text1"/>
          <w:lang w:val="sr-Latn-RS"/>
        </w:rPr>
        <w:t>ekonomske situacije i prela</w:t>
      </w:r>
      <w:r w:rsidR="00520A36" w:rsidRPr="00F5183F">
        <w:rPr>
          <w:rFonts w:asciiTheme="minorHAnsi" w:hAnsiTheme="minorHAnsi" w:cstheme="minorHAnsi"/>
          <w:bCs/>
          <w:iCs/>
          <w:color w:val="000000" w:themeColor="text1"/>
          <w:lang w:val="sr-Latn-RS"/>
        </w:rPr>
        <w:t>skom</w:t>
      </w:r>
      <w:r w:rsidR="005F18C6" w:rsidRPr="00F5183F">
        <w:rPr>
          <w:rFonts w:asciiTheme="minorHAnsi" w:hAnsiTheme="minorHAnsi" w:cstheme="minorHAnsi"/>
          <w:bCs/>
          <w:iCs/>
          <w:color w:val="000000" w:themeColor="text1"/>
          <w:lang w:val="sr-Latn-RS"/>
        </w:rPr>
        <w:t xml:space="preserve"> opštine Bač </w:t>
      </w:r>
      <w:r w:rsidR="004D66F4" w:rsidRPr="00F5183F">
        <w:rPr>
          <w:rFonts w:asciiTheme="minorHAnsi" w:hAnsiTheme="minorHAnsi" w:cstheme="minorHAnsi"/>
          <w:bCs/>
          <w:iCs/>
          <w:color w:val="000000" w:themeColor="text1"/>
          <w:lang w:val="sr-Latn-RS"/>
        </w:rPr>
        <w:t xml:space="preserve">2014. godine </w:t>
      </w:r>
      <w:r w:rsidR="005F18C6" w:rsidRPr="00F5183F">
        <w:rPr>
          <w:rFonts w:asciiTheme="minorHAnsi" w:hAnsiTheme="minorHAnsi" w:cstheme="minorHAnsi"/>
          <w:bCs/>
          <w:iCs/>
          <w:color w:val="000000" w:themeColor="text1"/>
          <w:lang w:val="sr-Latn-RS"/>
        </w:rPr>
        <w:t xml:space="preserve">iz II u III grupu </w:t>
      </w:r>
      <w:r w:rsidR="004D66F4" w:rsidRPr="00F5183F">
        <w:rPr>
          <w:rFonts w:asciiTheme="minorHAnsi" w:hAnsiTheme="minorHAnsi" w:cstheme="minorHAnsi"/>
          <w:bCs/>
          <w:iCs/>
          <w:color w:val="000000" w:themeColor="text1"/>
          <w:lang w:val="sr-Latn-RS"/>
        </w:rPr>
        <w:t xml:space="preserve">JLS </w:t>
      </w:r>
      <w:r w:rsidR="005F18C6" w:rsidRPr="00F5183F">
        <w:rPr>
          <w:rFonts w:asciiTheme="minorHAnsi" w:hAnsiTheme="minorHAnsi" w:cstheme="minorHAnsi"/>
          <w:bCs/>
          <w:iCs/>
          <w:color w:val="000000" w:themeColor="text1"/>
          <w:lang w:val="sr-Latn-RS"/>
        </w:rPr>
        <w:t>prem</w:t>
      </w:r>
      <w:r w:rsidR="00FA3AC0" w:rsidRPr="00F5183F">
        <w:rPr>
          <w:rFonts w:asciiTheme="minorHAnsi" w:hAnsiTheme="minorHAnsi" w:cstheme="minorHAnsi"/>
          <w:bCs/>
          <w:iCs/>
          <w:color w:val="000000" w:themeColor="text1"/>
          <w:lang w:val="sr-Latn-RS"/>
        </w:rPr>
        <w:t>a</w:t>
      </w:r>
      <w:r w:rsidR="005F18C6" w:rsidRPr="00F5183F">
        <w:rPr>
          <w:rFonts w:asciiTheme="minorHAnsi" w:hAnsiTheme="minorHAnsi" w:cstheme="minorHAnsi"/>
          <w:bCs/>
          <w:iCs/>
          <w:color w:val="000000" w:themeColor="text1"/>
          <w:lang w:val="sr-Latn-RS"/>
        </w:rPr>
        <w:t xml:space="preserve"> stepenu razvijenosti</w:t>
      </w:r>
      <w:r w:rsidR="00FA3AC0" w:rsidRPr="00F5183F">
        <w:rPr>
          <w:rFonts w:asciiTheme="minorHAnsi" w:hAnsiTheme="minorHAnsi" w:cstheme="minorHAnsi"/>
          <w:bCs/>
          <w:iCs/>
          <w:color w:val="000000" w:themeColor="text1"/>
          <w:lang w:val="sr-Latn-RS"/>
        </w:rPr>
        <w:t>.</w:t>
      </w:r>
      <w:r w:rsidR="00522A00" w:rsidRPr="00F5183F">
        <w:rPr>
          <w:rStyle w:val="FootnoteReference"/>
          <w:rFonts w:asciiTheme="minorHAnsi" w:hAnsiTheme="minorHAnsi" w:cstheme="minorHAnsi"/>
          <w:color w:val="000000" w:themeColor="text1"/>
          <w:shd w:val="clear" w:color="auto" w:fill="FFFFFF"/>
          <w:lang w:val="sr-Latn-RS"/>
        </w:rPr>
        <w:footnoteReference w:id="3"/>
      </w:r>
    </w:p>
    <w:p w14:paraId="67573E35" w14:textId="77777777" w:rsidR="000B38EE" w:rsidRPr="00F5183F" w:rsidRDefault="000B38EE" w:rsidP="00AB2806">
      <w:pPr>
        <w:jc w:val="both"/>
        <w:rPr>
          <w:rFonts w:asciiTheme="minorHAnsi" w:hAnsiTheme="minorHAnsi"/>
          <w:bCs/>
          <w:iCs/>
          <w:lang w:val="sr-Latn-RS"/>
        </w:rPr>
      </w:pPr>
    </w:p>
    <w:p w14:paraId="5656E14F" w14:textId="584C0AF5" w:rsidR="00445609" w:rsidRPr="00F5183F" w:rsidRDefault="003B7362" w:rsidP="00AB2806">
      <w:pPr>
        <w:jc w:val="both"/>
        <w:rPr>
          <w:rFonts w:asciiTheme="minorHAnsi" w:hAnsiTheme="minorHAnsi"/>
          <w:bCs/>
          <w:iCs/>
          <w:lang w:val="sr-Latn-RS"/>
        </w:rPr>
      </w:pPr>
      <w:r w:rsidRPr="00F5183F">
        <w:rPr>
          <w:rFonts w:asciiTheme="minorHAnsi" w:hAnsiTheme="minorHAnsi"/>
          <w:bCs/>
          <w:iCs/>
          <w:lang w:val="sr-Latn-RS"/>
        </w:rPr>
        <w:t xml:space="preserve">Obuhvat </w:t>
      </w:r>
      <w:r w:rsidR="0072142D" w:rsidRPr="00F5183F">
        <w:rPr>
          <w:rFonts w:asciiTheme="minorHAnsi" w:hAnsiTheme="minorHAnsi"/>
          <w:bCs/>
          <w:iCs/>
          <w:lang w:val="sr-Latn-RS"/>
        </w:rPr>
        <w:t xml:space="preserve">stanovništva </w:t>
      </w:r>
      <w:r w:rsidRPr="00F5183F">
        <w:rPr>
          <w:rFonts w:asciiTheme="minorHAnsi" w:hAnsiTheme="minorHAnsi"/>
          <w:bCs/>
          <w:iCs/>
          <w:lang w:val="sr-Latn-RS"/>
        </w:rPr>
        <w:t>programom NSP je niži nego u Republici Srbiji</w:t>
      </w:r>
      <w:r w:rsidR="00A63D75" w:rsidRPr="00F5183F">
        <w:rPr>
          <w:rFonts w:asciiTheme="minorHAnsi" w:hAnsiTheme="minorHAnsi"/>
          <w:bCs/>
          <w:iCs/>
          <w:lang w:val="sr-Latn-RS"/>
        </w:rPr>
        <w:t xml:space="preserve"> (3,1%)</w:t>
      </w:r>
      <w:r w:rsidR="00F60DAC" w:rsidRPr="00F5183F">
        <w:rPr>
          <w:rFonts w:asciiTheme="minorHAnsi" w:hAnsiTheme="minorHAnsi"/>
          <w:bCs/>
          <w:iCs/>
          <w:lang w:val="sr-Latn-RS"/>
        </w:rPr>
        <w:t xml:space="preserve">, ali se </w:t>
      </w:r>
      <w:r w:rsidR="00515170" w:rsidRPr="00F5183F">
        <w:rPr>
          <w:rFonts w:asciiTheme="minorHAnsi" w:hAnsiTheme="minorHAnsi"/>
          <w:bCs/>
          <w:iCs/>
          <w:lang w:val="sr-Latn-RS"/>
        </w:rPr>
        <w:t xml:space="preserve">ova </w:t>
      </w:r>
      <w:r w:rsidR="00F60DAC" w:rsidRPr="00F5183F">
        <w:rPr>
          <w:rFonts w:asciiTheme="minorHAnsi" w:hAnsiTheme="minorHAnsi"/>
          <w:bCs/>
          <w:iCs/>
          <w:lang w:val="sr-Latn-RS"/>
        </w:rPr>
        <w:t xml:space="preserve">razlika smanjuje, imajući u vidu da je na nivou Republike prisutan trend smanjenja broja </w:t>
      </w:r>
      <w:r w:rsidR="0068686B" w:rsidRPr="00F5183F">
        <w:rPr>
          <w:rFonts w:asciiTheme="minorHAnsi" w:hAnsiTheme="minorHAnsi"/>
          <w:bCs/>
          <w:iCs/>
          <w:lang w:val="sr-Latn-RS"/>
        </w:rPr>
        <w:t>i</w:t>
      </w:r>
      <w:r w:rsidR="00F60DAC" w:rsidRPr="00F5183F">
        <w:rPr>
          <w:rFonts w:asciiTheme="minorHAnsi" w:hAnsiTheme="minorHAnsi"/>
          <w:bCs/>
          <w:iCs/>
          <w:lang w:val="sr-Latn-RS"/>
        </w:rPr>
        <w:t xml:space="preserve"> udela korisnika.</w:t>
      </w:r>
      <w:r w:rsidR="00532758" w:rsidRPr="00F5183F">
        <w:rPr>
          <w:rFonts w:asciiTheme="minorHAnsi" w:hAnsiTheme="minorHAnsi"/>
          <w:bCs/>
          <w:iCs/>
          <w:lang w:val="sr-Latn-RS"/>
        </w:rPr>
        <w:t xml:space="preserve"> </w:t>
      </w:r>
      <w:r w:rsidR="000E3631" w:rsidRPr="00F5183F">
        <w:rPr>
          <w:rFonts w:asciiTheme="minorHAnsi" w:hAnsiTheme="minorHAnsi"/>
          <w:bCs/>
          <w:iCs/>
          <w:lang w:val="sr-Latn-RS"/>
        </w:rPr>
        <w:t xml:space="preserve"> </w:t>
      </w:r>
      <w:r w:rsidR="00A63D75" w:rsidRPr="00F5183F">
        <w:rPr>
          <w:rFonts w:asciiTheme="minorHAnsi" w:hAnsiTheme="minorHAnsi"/>
          <w:bCs/>
          <w:iCs/>
          <w:lang w:val="sr-Latn-RS"/>
        </w:rPr>
        <w:t xml:space="preserve">Obuhvat je </w:t>
      </w:r>
      <w:r w:rsidR="00770D6C" w:rsidRPr="00F5183F">
        <w:rPr>
          <w:rFonts w:asciiTheme="minorHAnsi" w:hAnsiTheme="minorHAnsi"/>
          <w:bCs/>
          <w:iCs/>
          <w:lang w:val="sr-Latn-RS"/>
        </w:rPr>
        <w:t xml:space="preserve">približno </w:t>
      </w:r>
      <w:r w:rsidR="00A63D75" w:rsidRPr="00F5183F">
        <w:rPr>
          <w:rFonts w:asciiTheme="minorHAnsi" w:hAnsiTheme="minorHAnsi"/>
          <w:bCs/>
          <w:iCs/>
          <w:lang w:val="sr-Latn-RS"/>
        </w:rPr>
        <w:t xml:space="preserve">na nivou proseka za </w:t>
      </w:r>
      <w:r w:rsidR="00770D6C" w:rsidRPr="00F5183F">
        <w:rPr>
          <w:rFonts w:asciiTheme="minorHAnsi" w:hAnsiTheme="minorHAnsi"/>
          <w:bCs/>
          <w:iCs/>
          <w:lang w:val="sr-Latn-RS"/>
        </w:rPr>
        <w:t>J</w:t>
      </w:r>
      <w:r w:rsidR="00A63D75" w:rsidRPr="00F5183F">
        <w:rPr>
          <w:rFonts w:asciiTheme="minorHAnsi" w:hAnsiTheme="minorHAnsi"/>
          <w:bCs/>
          <w:iCs/>
          <w:lang w:val="sr-Latn-RS"/>
        </w:rPr>
        <w:t>užnobački okrug (2,5%), u kome je</w:t>
      </w:r>
      <w:r w:rsidR="005C7A43" w:rsidRPr="00F5183F">
        <w:rPr>
          <w:rFonts w:asciiTheme="minorHAnsi" w:hAnsiTheme="minorHAnsi"/>
          <w:bCs/>
          <w:iCs/>
          <w:lang w:val="sr-Latn-RS"/>
        </w:rPr>
        <w:t xml:space="preserve">, kao i u Republici, </w:t>
      </w:r>
      <w:r w:rsidR="00A63D75" w:rsidRPr="00F5183F">
        <w:rPr>
          <w:rFonts w:asciiTheme="minorHAnsi" w:hAnsiTheme="minorHAnsi"/>
          <w:bCs/>
          <w:iCs/>
          <w:lang w:val="sr-Latn-RS"/>
        </w:rPr>
        <w:t xml:space="preserve"> </w:t>
      </w:r>
      <w:r w:rsidR="001D3575" w:rsidRPr="00F5183F">
        <w:rPr>
          <w:rFonts w:asciiTheme="minorHAnsi" w:hAnsiTheme="minorHAnsi"/>
          <w:bCs/>
          <w:iCs/>
          <w:lang w:val="sr-Latn-RS"/>
        </w:rPr>
        <w:t xml:space="preserve">poslednjih godina </w:t>
      </w:r>
      <w:r w:rsidR="00A63D75" w:rsidRPr="00F5183F">
        <w:rPr>
          <w:rFonts w:asciiTheme="minorHAnsi" w:hAnsiTheme="minorHAnsi"/>
          <w:bCs/>
          <w:iCs/>
          <w:lang w:val="sr-Latn-RS"/>
        </w:rPr>
        <w:t xml:space="preserve">prisutan trend smanjenja broja </w:t>
      </w:r>
      <w:r w:rsidR="006D184D" w:rsidRPr="00F5183F">
        <w:rPr>
          <w:rFonts w:asciiTheme="minorHAnsi" w:hAnsiTheme="minorHAnsi"/>
          <w:bCs/>
          <w:iCs/>
          <w:lang w:val="sr-Latn-RS"/>
        </w:rPr>
        <w:t>i</w:t>
      </w:r>
      <w:r w:rsidR="00A63D75" w:rsidRPr="00F5183F">
        <w:rPr>
          <w:rFonts w:asciiTheme="minorHAnsi" w:hAnsiTheme="minorHAnsi"/>
          <w:bCs/>
          <w:iCs/>
          <w:lang w:val="sr-Latn-RS"/>
        </w:rPr>
        <w:t xml:space="preserve"> udela korisnika</w:t>
      </w:r>
      <w:r w:rsidR="00FA3AC0" w:rsidRPr="00F5183F">
        <w:rPr>
          <w:rFonts w:asciiTheme="minorHAnsi" w:hAnsiTheme="minorHAnsi"/>
          <w:bCs/>
          <w:iCs/>
          <w:lang w:val="sr-Latn-RS"/>
        </w:rPr>
        <w:t xml:space="preserve"> </w:t>
      </w:r>
      <w:r w:rsidR="00FA3AC0" w:rsidRPr="00F5183F">
        <w:rPr>
          <w:rFonts w:asciiTheme="minorHAnsi" w:hAnsiTheme="minorHAnsi" w:cstheme="minorHAnsi"/>
          <w:bCs/>
          <w:iCs/>
          <w:color w:val="000000" w:themeColor="text1"/>
          <w:lang w:val="sr-Latn-RS"/>
        </w:rPr>
        <w:t>(Grafikon 1)</w:t>
      </w:r>
      <w:r w:rsidR="00A63D75" w:rsidRPr="00F5183F">
        <w:rPr>
          <w:rFonts w:asciiTheme="minorHAnsi" w:hAnsiTheme="minorHAnsi"/>
          <w:bCs/>
          <w:iCs/>
          <w:lang w:val="sr-Latn-RS"/>
        </w:rPr>
        <w:t>.</w:t>
      </w:r>
      <w:r w:rsidR="00915F1B" w:rsidRPr="00F5183F">
        <w:rPr>
          <w:rFonts w:asciiTheme="minorHAnsi" w:hAnsiTheme="minorHAnsi"/>
          <w:bCs/>
          <w:iCs/>
          <w:lang w:val="sr-Latn-RS"/>
        </w:rPr>
        <w:t xml:space="preserve"> </w:t>
      </w:r>
      <w:r w:rsidR="001D5696" w:rsidRPr="00F5183F">
        <w:rPr>
          <w:rFonts w:asciiTheme="minorHAnsi" w:hAnsiTheme="minorHAnsi"/>
          <w:bCs/>
          <w:iCs/>
          <w:lang w:val="sr-Latn-RS"/>
        </w:rPr>
        <w:t>Kada se JLS poređaju po visini obuhvata od najmanjeg do najvećeg, rang opštine Bač je 57</w:t>
      </w:r>
      <w:r w:rsidR="00FB0646" w:rsidRPr="00F5183F">
        <w:rPr>
          <w:rFonts w:asciiTheme="minorHAnsi" w:hAnsiTheme="minorHAnsi"/>
          <w:bCs/>
          <w:iCs/>
          <w:lang w:val="sr-Latn-RS"/>
        </w:rPr>
        <w:t xml:space="preserve"> od 145</w:t>
      </w:r>
      <w:r w:rsidR="005311BE" w:rsidRPr="00F5183F">
        <w:rPr>
          <w:rFonts w:asciiTheme="minorHAnsi" w:hAnsiTheme="minorHAnsi"/>
          <w:bCs/>
          <w:iCs/>
          <w:lang w:val="sr-Latn-RS"/>
        </w:rPr>
        <w:t xml:space="preserve"> </w:t>
      </w:r>
      <w:r w:rsidR="00A219C2" w:rsidRPr="00F5183F">
        <w:rPr>
          <w:rFonts w:asciiTheme="minorHAnsi" w:hAnsiTheme="minorHAnsi"/>
          <w:bCs/>
          <w:iCs/>
          <w:lang w:val="sr-Latn-RS"/>
        </w:rPr>
        <w:t>JLS</w:t>
      </w:r>
      <w:r w:rsidR="001D5696" w:rsidRPr="00F5183F">
        <w:rPr>
          <w:rFonts w:asciiTheme="minorHAnsi" w:hAnsiTheme="minorHAnsi"/>
          <w:bCs/>
          <w:iCs/>
          <w:lang w:val="sr-Latn-RS"/>
        </w:rPr>
        <w:t xml:space="preserve">. </w:t>
      </w:r>
    </w:p>
    <w:p w14:paraId="42B77056" w14:textId="77777777" w:rsidR="00103345" w:rsidRPr="00F5183F" w:rsidRDefault="00103345" w:rsidP="00AB2806">
      <w:pPr>
        <w:jc w:val="both"/>
        <w:rPr>
          <w:rFonts w:asciiTheme="minorHAnsi" w:hAnsiTheme="minorHAnsi"/>
          <w:b/>
          <w:i/>
          <w:sz w:val="22"/>
          <w:szCs w:val="22"/>
          <w:lang w:val="sr-Latn-RS"/>
        </w:rPr>
      </w:pPr>
    </w:p>
    <w:p w14:paraId="43B1996A" w14:textId="77777777" w:rsidR="00103345" w:rsidRDefault="00103345" w:rsidP="00FB7BCF">
      <w:pPr>
        <w:rPr>
          <w:rFonts w:asciiTheme="minorHAnsi" w:hAnsiTheme="minorHAnsi"/>
          <w:lang w:val="sr-Latn-RS"/>
        </w:rPr>
        <w:sectPr w:rsidR="00103345" w:rsidSect="00B53F4E">
          <w:footerReference w:type="even" r:id="rId8"/>
          <w:footerReference w:type="default" r:id="rId9"/>
          <w:pgSz w:w="12240" w:h="15840"/>
          <w:pgMar w:top="1440" w:right="1440" w:bottom="1440" w:left="1440" w:header="720" w:footer="720" w:gutter="0"/>
          <w:cols w:space="720"/>
          <w:docGrid w:linePitch="360"/>
        </w:sectPr>
      </w:pPr>
    </w:p>
    <w:p w14:paraId="7CBA24BD" w14:textId="689BFFCF" w:rsidR="00FB7BCF" w:rsidRPr="00F5183F" w:rsidRDefault="00FB7BCF" w:rsidP="00FB7BCF">
      <w:pPr>
        <w:rPr>
          <w:rFonts w:asciiTheme="minorHAnsi" w:hAnsiTheme="minorHAnsi"/>
          <w:lang w:val="sr-Latn-RS"/>
        </w:rPr>
      </w:pPr>
      <w:r w:rsidRPr="00F5183F">
        <w:rPr>
          <w:rFonts w:asciiTheme="minorHAnsi" w:hAnsiTheme="minorHAnsi"/>
          <w:lang w:val="sr-Latn-RS"/>
        </w:rPr>
        <w:lastRenderedPageBreak/>
        <w:t>Grafikon 1: Udeo korisnika NSP u ukupnoj populaciji, 2012-2019.</w:t>
      </w:r>
    </w:p>
    <w:p w14:paraId="171A9F63" w14:textId="6FB80C93" w:rsidR="00D82100" w:rsidRPr="00F5183F" w:rsidRDefault="00CE1A46" w:rsidP="00D82100">
      <w:pPr>
        <w:rPr>
          <w:rFonts w:asciiTheme="minorHAnsi" w:hAnsiTheme="minorHAnsi"/>
          <w:lang w:val="sr-Latn-RS"/>
        </w:rPr>
      </w:pPr>
      <w:r w:rsidRPr="00F5183F">
        <w:rPr>
          <w:noProof/>
          <w:lang w:val="sr-Latn-RS"/>
        </w:rPr>
        <w:drawing>
          <wp:inline distT="0" distB="0" distL="0" distR="0" wp14:anchorId="02C75A64" wp14:editId="34E372E3">
            <wp:extent cx="4572000" cy="2743200"/>
            <wp:effectExtent l="0" t="0" r="12700" b="12700"/>
            <wp:docPr id="7" name="Chart 7">
              <a:extLst xmlns:a="http://schemas.openxmlformats.org/drawingml/2006/main">
                <a:ext uri="{FF2B5EF4-FFF2-40B4-BE49-F238E27FC236}">
                  <a16:creationId xmlns:a16="http://schemas.microsoft.com/office/drawing/2014/main" id="{AB807DDA-0B3F-C344-BDA1-BC7CF45336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1112DB" w14:textId="1C398EF5" w:rsidR="00FB7BCF" w:rsidRPr="00F5183F" w:rsidRDefault="00FB7BCF" w:rsidP="00D82100">
      <w:pPr>
        <w:rPr>
          <w:rFonts w:asciiTheme="minorHAnsi" w:hAnsiTheme="minorHAnsi"/>
          <w:color w:val="000000" w:themeColor="text1"/>
          <w:lang w:val="sr-Latn-RS"/>
        </w:rPr>
      </w:pPr>
      <w:r w:rsidRPr="00F5183F">
        <w:rPr>
          <w:rFonts w:asciiTheme="minorHAnsi" w:hAnsiTheme="minorHAnsi" w:cstheme="minorHAnsi"/>
          <w:color w:val="000000" w:themeColor="text1"/>
          <w:sz w:val="20"/>
          <w:szCs w:val="20"/>
          <w:lang w:val="sr-Latn-RS"/>
        </w:rPr>
        <w:t xml:space="preserve">Izvor: </w:t>
      </w:r>
      <w:r w:rsidR="006168DD" w:rsidRPr="00F5183F">
        <w:rPr>
          <w:rFonts w:asciiTheme="minorHAnsi" w:hAnsiTheme="minorHAnsi" w:cstheme="minorHAnsi"/>
          <w:color w:val="000000" w:themeColor="text1"/>
          <w:sz w:val="20"/>
          <w:szCs w:val="20"/>
          <w:lang w:val="sr-Latn-RS"/>
        </w:rPr>
        <w:t>DevInfo</w:t>
      </w:r>
      <w:r w:rsidR="00FB0646" w:rsidRPr="00F5183F">
        <w:rPr>
          <w:rFonts w:asciiTheme="minorHAnsi" w:hAnsiTheme="minorHAnsi" w:cstheme="minorHAnsi"/>
          <w:color w:val="000000" w:themeColor="text1"/>
          <w:sz w:val="20"/>
          <w:szCs w:val="20"/>
          <w:lang w:val="sr-Latn-RS"/>
        </w:rPr>
        <w:t xml:space="preserve"> </w:t>
      </w:r>
    </w:p>
    <w:p w14:paraId="7B1F6A48" w14:textId="77777777" w:rsidR="00D82100" w:rsidRPr="00F5183F" w:rsidRDefault="00D82100" w:rsidP="00EE6FA4">
      <w:pPr>
        <w:jc w:val="both"/>
        <w:rPr>
          <w:rFonts w:asciiTheme="minorHAnsi" w:hAnsiTheme="minorHAnsi" w:cstheme="minorHAnsi"/>
          <w:b/>
          <w:i/>
          <w:lang w:val="sr-Latn-RS"/>
        </w:rPr>
      </w:pPr>
    </w:p>
    <w:p w14:paraId="7F72CD88" w14:textId="0687EF92" w:rsidR="00BF7BB6" w:rsidRPr="00F5183F" w:rsidRDefault="005F18C6" w:rsidP="00BF7BB6">
      <w:pPr>
        <w:jc w:val="both"/>
        <w:rPr>
          <w:rFonts w:asciiTheme="minorHAnsi" w:hAnsiTheme="minorHAnsi" w:cstheme="minorHAnsi"/>
          <w:color w:val="000000"/>
          <w:shd w:val="clear" w:color="auto" w:fill="FFFFFF"/>
          <w:lang w:val="sr-Latn-RS"/>
        </w:rPr>
      </w:pPr>
      <w:r w:rsidRPr="00F5183F">
        <w:rPr>
          <w:rFonts w:asciiTheme="minorHAnsi" w:hAnsiTheme="minorHAnsi" w:cstheme="minorHAnsi"/>
          <w:b/>
          <w:i/>
          <w:lang w:val="sr-Latn-RS"/>
        </w:rPr>
        <w:t xml:space="preserve">Krajem </w:t>
      </w:r>
      <w:r w:rsidR="002B57FA" w:rsidRPr="00F5183F">
        <w:rPr>
          <w:rFonts w:asciiTheme="minorHAnsi" w:hAnsiTheme="minorHAnsi" w:cstheme="minorHAnsi"/>
          <w:b/>
          <w:i/>
          <w:lang w:val="sr-Latn-RS"/>
        </w:rPr>
        <w:t>2019. godin</w:t>
      </w:r>
      <w:r w:rsidRPr="00F5183F">
        <w:rPr>
          <w:rFonts w:asciiTheme="minorHAnsi" w:hAnsiTheme="minorHAnsi" w:cstheme="minorHAnsi"/>
          <w:b/>
          <w:i/>
          <w:lang w:val="sr-Latn-RS"/>
        </w:rPr>
        <w:t>e</w:t>
      </w:r>
      <w:r w:rsidR="002B57FA" w:rsidRPr="00F5183F">
        <w:rPr>
          <w:rFonts w:asciiTheme="minorHAnsi" w:hAnsiTheme="minorHAnsi" w:cstheme="minorHAnsi"/>
          <w:b/>
          <w:i/>
          <w:lang w:val="sr-Latn-RS"/>
        </w:rPr>
        <w:t xml:space="preserve"> </w:t>
      </w:r>
      <w:r w:rsidR="004C3F54" w:rsidRPr="00F5183F">
        <w:rPr>
          <w:rFonts w:asciiTheme="minorHAnsi" w:hAnsiTheme="minorHAnsi" w:cstheme="minorHAnsi"/>
          <w:b/>
          <w:i/>
          <w:lang w:val="sr-Latn-RS"/>
        </w:rPr>
        <w:t>824</w:t>
      </w:r>
      <w:r w:rsidR="002B57FA" w:rsidRPr="00F5183F">
        <w:rPr>
          <w:rFonts w:asciiTheme="minorHAnsi" w:hAnsiTheme="minorHAnsi" w:cstheme="minorHAnsi"/>
          <w:b/>
          <w:i/>
          <w:lang w:val="sr-Latn-RS"/>
        </w:rPr>
        <w:t xml:space="preserve"> dec</w:t>
      </w:r>
      <w:r w:rsidR="00532758" w:rsidRPr="00F5183F">
        <w:rPr>
          <w:rFonts w:asciiTheme="minorHAnsi" w:hAnsiTheme="minorHAnsi" w:cstheme="minorHAnsi"/>
          <w:b/>
          <w:i/>
          <w:lang w:val="sr-Latn-RS"/>
        </w:rPr>
        <w:t>e i mladih</w:t>
      </w:r>
      <w:r w:rsidR="004C3F54" w:rsidRPr="00F5183F">
        <w:rPr>
          <w:rFonts w:asciiTheme="minorHAnsi" w:hAnsiTheme="minorHAnsi" w:cstheme="minorHAnsi"/>
          <w:b/>
          <w:i/>
          <w:lang w:val="sr-Latn-RS"/>
        </w:rPr>
        <w:t xml:space="preserve"> je primalo </w:t>
      </w:r>
      <w:r w:rsidR="002B57FA" w:rsidRPr="00F5183F">
        <w:rPr>
          <w:rFonts w:asciiTheme="minorHAnsi" w:hAnsiTheme="minorHAnsi" w:cstheme="minorHAnsi"/>
          <w:b/>
          <w:i/>
          <w:lang w:val="sr-Latn-RS"/>
        </w:rPr>
        <w:t>dečij</w:t>
      </w:r>
      <w:r w:rsidR="004C3F54" w:rsidRPr="00F5183F">
        <w:rPr>
          <w:rFonts w:asciiTheme="minorHAnsi" w:hAnsiTheme="minorHAnsi" w:cstheme="minorHAnsi"/>
          <w:b/>
          <w:i/>
          <w:lang w:val="sr-Latn-RS"/>
        </w:rPr>
        <w:t>i</w:t>
      </w:r>
      <w:r w:rsidR="002B57FA" w:rsidRPr="00F5183F">
        <w:rPr>
          <w:rFonts w:asciiTheme="minorHAnsi" w:hAnsiTheme="minorHAnsi" w:cstheme="minorHAnsi"/>
          <w:b/>
          <w:i/>
          <w:lang w:val="sr-Latn-RS"/>
        </w:rPr>
        <w:t xml:space="preserve"> dodata</w:t>
      </w:r>
      <w:r w:rsidR="004C3F54" w:rsidRPr="00F5183F">
        <w:rPr>
          <w:rFonts w:asciiTheme="minorHAnsi" w:hAnsiTheme="minorHAnsi" w:cstheme="minorHAnsi"/>
          <w:b/>
          <w:i/>
          <w:lang w:val="sr-Latn-RS"/>
        </w:rPr>
        <w:t>k, od kojih je 14</w:t>
      </w:r>
      <w:r w:rsidR="0086392D" w:rsidRPr="00F5183F">
        <w:rPr>
          <w:rFonts w:asciiTheme="minorHAnsi" w:hAnsiTheme="minorHAnsi" w:cstheme="minorHAnsi"/>
          <w:b/>
          <w:i/>
          <w:lang w:val="sr-Latn-RS"/>
        </w:rPr>
        <w:t>7</w:t>
      </w:r>
      <w:r w:rsidR="004C3F54" w:rsidRPr="00F5183F">
        <w:rPr>
          <w:rFonts w:asciiTheme="minorHAnsi" w:hAnsiTheme="minorHAnsi" w:cstheme="minorHAnsi"/>
          <w:b/>
          <w:i/>
          <w:lang w:val="sr-Latn-RS"/>
        </w:rPr>
        <w:t xml:space="preserve"> primalo </w:t>
      </w:r>
      <w:r w:rsidR="00251D53" w:rsidRPr="00F5183F">
        <w:rPr>
          <w:rFonts w:asciiTheme="minorHAnsi" w:hAnsiTheme="minorHAnsi" w:cstheme="minorHAnsi"/>
          <w:b/>
          <w:i/>
          <w:lang w:val="sr-Latn-RS"/>
        </w:rPr>
        <w:t>uve</w:t>
      </w:r>
      <w:r w:rsidR="004C3F54" w:rsidRPr="00F5183F">
        <w:rPr>
          <w:rFonts w:asciiTheme="minorHAnsi" w:hAnsiTheme="minorHAnsi" w:cstheme="minorHAnsi"/>
          <w:b/>
          <w:i/>
          <w:lang w:val="sr-Latn-RS"/>
        </w:rPr>
        <w:t>ć</w:t>
      </w:r>
      <w:r w:rsidR="00251D53" w:rsidRPr="00F5183F">
        <w:rPr>
          <w:rFonts w:asciiTheme="minorHAnsi" w:hAnsiTheme="minorHAnsi" w:cstheme="minorHAnsi"/>
          <w:b/>
          <w:i/>
          <w:lang w:val="sr-Latn-RS"/>
        </w:rPr>
        <w:t>ane</w:t>
      </w:r>
      <w:r w:rsidR="004C3F54" w:rsidRPr="00F5183F">
        <w:rPr>
          <w:rFonts w:asciiTheme="minorHAnsi" w:hAnsiTheme="minorHAnsi" w:cstheme="minorHAnsi"/>
          <w:b/>
          <w:i/>
          <w:lang w:val="sr-Latn-RS"/>
        </w:rPr>
        <w:t xml:space="preserve"> iznose</w:t>
      </w:r>
      <w:r w:rsidRPr="00F5183F">
        <w:rPr>
          <w:rFonts w:asciiTheme="minorHAnsi" w:hAnsiTheme="minorHAnsi" w:cstheme="minorHAnsi"/>
          <w:b/>
          <w:i/>
          <w:lang w:val="sr-Latn-RS"/>
        </w:rPr>
        <w:t xml:space="preserve"> i ostvarivalo pravo po povoljnijim uslovima</w:t>
      </w:r>
      <w:r w:rsidR="004C3F54" w:rsidRPr="00F5183F">
        <w:rPr>
          <w:rFonts w:asciiTheme="minorHAnsi" w:hAnsiTheme="minorHAnsi" w:cstheme="minorHAnsi"/>
          <w:b/>
          <w:i/>
          <w:lang w:val="sr-Latn-RS"/>
        </w:rPr>
        <w:t>.</w:t>
      </w:r>
      <w:r w:rsidRPr="00F5183F">
        <w:rPr>
          <w:rFonts w:asciiTheme="minorHAnsi" w:hAnsiTheme="minorHAnsi" w:cstheme="minorHAnsi"/>
          <w:b/>
          <w:i/>
          <w:lang w:val="sr-Latn-RS"/>
        </w:rPr>
        <w:t xml:space="preserve"> </w:t>
      </w:r>
      <w:r w:rsidRPr="00F5183F">
        <w:rPr>
          <w:rFonts w:asciiTheme="minorHAnsi" w:hAnsiTheme="minorHAnsi" w:cstheme="minorHAnsi"/>
          <w:bCs/>
          <w:iCs/>
          <w:lang w:val="sr-Latn-RS"/>
        </w:rPr>
        <w:t xml:space="preserve">U </w:t>
      </w:r>
      <w:r w:rsidR="00B60273" w:rsidRPr="00F5183F">
        <w:rPr>
          <w:rFonts w:asciiTheme="minorHAnsi" w:hAnsiTheme="minorHAnsi" w:cstheme="minorHAnsi"/>
          <w:bCs/>
          <w:iCs/>
          <w:lang w:val="sr-Latn-RS"/>
        </w:rPr>
        <w:t xml:space="preserve">potonjoj </w:t>
      </w:r>
      <w:r w:rsidRPr="00F5183F">
        <w:rPr>
          <w:rFonts w:asciiTheme="minorHAnsi" w:hAnsiTheme="minorHAnsi" w:cstheme="minorHAnsi"/>
          <w:bCs/>
          <w:iCs/>
          <w:lang w:val="sr-Latn-RS"/>
        </w:rPr>
        <w:t>grupi</w:t>
      </w:r>
      <w:r w:rsidR="00B60273" w:rsidRPr="00F5183F">
        <w:rPr>
          <w:rFonts w:asciiTheme="minorHAnsi" w:hAnsiTheme="minorHAnsi" w:cstheme="minorHAnsi"/>
          <w:bCs/>
          <w:iCs/>
          <w:lang w:val="sr-Latn-RS"/>
        </w:rPr>
        <w:t xml:space="preserve"> </w:t>
      </w:r>
      <w:r w:rsidRPr="00F5183F">
        <w:rPr>
          <w:rFonts w:asciiTheme="minorHAnsi" w:hAnsiTheme="minorHAnsi" w:cstheme="minorHAnsi"/>
          <w:bCs/>
          <w:iCs/>
          <w:lang w:val="sr-Latn-RS"/>
        </w:rPr>
        <w:t>su deca sa invaliditetom i sa smetnjama u razvoju, kao i deca iz jednoroditeljskih i star</w:t>
      </w:r>
      <w:r w:rsidR="00EE6FA4" w:rsidRPr="00F5183F">
        <w:rPr>
          <w:rFonts w:asciiTheme="minorHAnsi" w:hAnsiTheme="minorHAnsi" w:cstheme="minorHAnsi"/>
          <w:bCs/>
          <w:iCs/>
          <w:lang w:val="sr-Latn-RS"/>
        </w:rPr>
        <w:t>a</w:t>
      </w:r>
      <w:r w:rsidRPr="00F5183F">
        <w:rPr>
          <w:rFonts w:asciiTheme="minorHAnsi" w:hAnsiTheme="minorHAnsi" w:cstheme="minorHAnsi"/>
          <w:bCs/>
          <w:iCs/>
          <w:lang w:val="sr-Latn-RS"/>
        </w:rPr>
        <w:t>teljskih porodica.</w:t>
      </w:r>
      <w:r w:rsidRPr="00F5183F">
        <w:rPr>
          <w:rStyle w:val="FootnoteReference"/>
          <w:rFonts w:asciiTheme="minorHAnsi" w:hAnsiTheme="minorHAnsi" w:cstheme="minorHAnsi"/>
          <w:bCs/>
          <w:iCs/>
          <w:lang w:val="sr-Latn-RS"/>
        </w:rPr>
        <w:footnoteReference w:id="4"/>
      </w:r>
      <w:r w:rsidR="002B57FA" w:rsidRPr="00F5183F">
        <w:rPr>
          <w:rFonts w:asciiTheme="minorHAnsi" w:hAnsiTheme="minorHAnsi" w:cstheme="minorHAnsi"/>
          <w:bCs/>
          <w:iCs/>
          <w:lang w:val="sr-Latn-RS"/>
        </w:rPr>
        <w:t xml:space="preserve"> </w:t>
      </w:r>
      <w:r w:rsidR="009D002B" w:rsidRPr="00F5183F">
        <w:rPr>
          <w:rFonts w:asciiTheme="minorHAnsi" w:hAnsiTheme="minorHAnsi" w:cstheme="minorHAnsi"/>
          <w:bCs/>
          <w:iCs/>
          <w:lang w:val="sr-Latn-RS"/>
        </w:rPr>
        <w:t>K</w:t>
      </w:r>
      <w:r w:rsidR="00EE6FA4" w:rsidRPr="00F5183F">
        <w:rPr>
          <w:rFonts w:asciiTheme="minorHAnsi" w:hAnsiTheme="minorHAnsi" w:cstheme="minorHAnsi"/>
          <w:bCs/>
          <w:iCs/>
          <w:lang w:val="sr-Latn-RS"/>
        </w:rPr>
        <w:t>orisni</w:t>
      </w:r>
      <w:r w:rsidR="009D002B" w:rsidRPr="00F5183F">
        <w:rPr>
          <w:rFonts w:asciiTheme="minorHAnsi" w:hAnsiTheme="minorHAnsi" w:cstheme="minorHAnsi"/>
          <w:bCs/>
          <w:iCs/>
          <w:lang w:val="sr-Latn-RS"/>
        </w:rPr>
        <w:t>ci</w:t>
      </w:r>
      <w:r w:rsidR="00EE6FA4" w:rsidRPr="00F5183F">
        <w:rPr>
          <w:rFonts w:asciiTheme="minorHAnsi" w:hAnsiTheme="minorHAnsi" w:cstheme="minorHAnsi"/>
          <w:bCs/>
          <w:iCs/>
          <w:lang w:val="sr-Latn-RS"/>
        </w:rPr>
        <w:t xml:space="preserve"> dečijeg dodatka su deca </w:t>
      </w:r>
      <w:r w:rsidR="009D002B" w:rsidRPr="00F5183F">
        <w:rPr>
          <w:rFonts w:asciiTheme="minorHAnsi" w:hAnsiTheme="minorHAnsi" w:cstheme="minorHAnsi"/>
          <w:bCs/>
          <w:iCs/>
          <w:lang w:val="sr-Latn-RS"/>
        </w:rPr>
        <w:t xml:space="preserve">i mladi do 20 </w:t>
      </w:r>
      <w:r w:rsidR="00EE6FA4" w:rsidRPr="00F5183F">
        <w:rPr>
          <w:rFonts w:asciiTheme="minorHAnsi" w:hAnsiTheme="minorHAnsi" w:cstheme="minorHAnsi"/>
          <w:bCs/>
          <w:iCs/>
          <w:lang w:val="sr-Latn-RS"/>
        </w:rPr>
        <w:t xml:space="preserve"> godina</w:t>
      </w:r>
      <w:r w:rsidR="009D002B" w:rsidRPr="00F5183F">
        <w:rPr>
          <w:rFonts w:asciiTheme="minorHAnsi" w:hAnsiTheme="minorHAnsi" w:cstheme="minorHAnsi"/>
          <w:bCs/>
          <w:iCs/>
          <w:lang w:val="sr-Latn-RS"/>
        </w:rPr>
        <w:t>.</w:t>
      </w:r>
      <w:r w:rsidR="00EE6FA4" w:rsidRPr="00F5183F">
        <w:rPr>
          <w:rStyle w:val="FootnoteReference"/>
          <w:rFonts w:asciiTheme="minorHAnsi" w:hAnsiTheme="minorHAnsi" w:cstheme="minorHAnsi"/>
          <w:bCs/>
          <w:iCs/>
          <w:color w:val="000000" w:themeColor="text1"/>
          <w:lang w:val="sr-Latn-RS"/>
        </w:rPr>
        <w:footnoteReference w:id="5"/>
      </w:r>
      <w:r w:rsidR="002663CF" w:rsidRPr="00F5183F">
        <w:rPr>
          <w:rFonts w:asciiTheme="minorHAnsi" w:hAnsiTheme="minorHAnsi" w:cstheme="minorHAnsi"/>
          <w:b/>
          <w:i/>
          <w:color w:val="000000" w:themeColor="text1"/>
          <w:lang w:val="sr-Latn-RS"/>
        </w:rPr>
        <w:t xml:space="preserve"> </w:t>
      </w:r>
      <w:r w:rsidR="00BF7BB6" w:rsidRPr="00F5183F">
        <w:rPr>
          <w:rFonts w:asciiTheme="minorHAnsi" w:hAnsiTheme="minorHAnsi" w:cstheme="minorHAnsi"/>
          <w:color w:val="000000"/>
          <w:shd w:val="clear" w:color="auto" w:fill="FFFFFF"/>
          <w:lang w:val="sr-Latn-RS"/>
        </w:rPr>
        <w:t xml:space="preserve">Tokom vremena broj korisnika dečijeg dodatka se smanjivao. Na ovakvo kretanje su odlučujuće uticale promene broja korisnika tzv. osnovnog iznosa DD, s obzirom da se broj korisnika </w:t>
      </w:r>
      <w:r w:rsidR="001D5696" w:rsidRPr="00F5183F">
        <w:rPr>
          <w:rFonts w:asciiTheme="minorHAnsi" w:hAnsiTheme="minorHAnsi" w:cstheme="minorHAnsi"/>
          <w:color w:val="000000"/>
          <w:shd w:val="clear" w:color="auto" w:fill="FFFFFF"/>
          <w:lang w:val="sr-Latn-RS"/>
        </w:rPr>
        <w:t xml:space="preserve">koji ostvaruju pravo na </w:t>
      </w:r>
      <w:r w:rsidR="00BF7BB6" w:rsidRPr="00F5183F">
        <w:rPr>
          <w:rFonts w:asciiTheme="minorHAnsi" w:hAnsiTheme="minorHAnsi" w:cstheme="minorHAnsi"/>
          <w:color w:val="000000"/>
          <w:shd w:val="clear" w:color="auto" w:fill="FFFFFF"/>
          <w:lang w:val="sr-Latn-RS"/>
        </w:rPr>
        <w:t>uvećan</w:t>
      </w:r>
      <w:r w:rsidR="001D5696" w:rsidRPr="00F5183F">
        <w:rPr>
          <w:rFonts w:asciiTheme="minorHAnsi" w:hAnsiTheme="minorHAnsi" w:cstheme="minorHAnsi"/>
          <w:color w:val="000000"/>
          <w:shd w:val="clear" w:color="auto" w:fill="FFFFFF"/>
          <w:lang w:val="sr-Latn-RS"/>
        </w:rPr>
        <w:t>i</w:t>
      </w:r>
      <w:r w:rsidR="00BF7BB6" w:rsidRPr="00F5183F">
        <w:rPr>
          <w:rFonts w:asciiTheme="minorHAnsi" w:hAnsiTheme="minorHAnsi" w:cstheme="minorHAnsi"/>
          <w:color w:val="000000"/>
          <w:shd w:val="clear" w:color="auto" w:fill="FFFFFF"/>
          <w:lang w:val="sr-Latn-RS"/>
        </w:rPr>
        <w:t xml:space="preserve"> iznos nije značajnije menjao (Grafikon 2).</w:t>
      </w:r>
    </w:p>
    <w:p w14:paraId="1C3616CF" w14:textId="77777777" w:rsidR="00BF7BB6" w:rsidRPr="00F5183F" w:rsidRDefault="00BF7BB6" w:rsidP="00B51485">
      <w:pPr>
        <w:jc w:val="both"/>
        <w:rPr>
          <w:rFonts w:asciiTheme="minorHAnsi" w:hAnsiTheme="minorHAnsi" w:cstheme="minorHAnsi"/>
          <w:b/>
          <w:i/>
          <w:color w:val="000000" w:themeColor="text1"/>
          <w:lang w:val="sr-Latn-RS"/>
        </w:rPr>
      </w:pPr>
    </w:p>
    <w:p w14:paraId="75C36EE0" w14:textId="678EC2F1" w:rsidR="00841A8C" w:rsidRPr="00F5183F" w:rsidRDefault="009D002B" w:rsidP="00AB2806">
      <w:pPr>
        <w:jc w:val="both"/>
        <w:rPr>
          <w:rFonts w:asciiTheme="minorHAnsi" w:hAnsiTheme="minorHAnsi" w:cstheme="minorHAnsi"/>
          <w:color w:val="000000"/>
          <w:shd w:val="clear" w:color="auto" w:fill="FFFFFF"/>
          <w:lang w:val="sr-Latn-RS"/>
        </w:rPr>
      </w:pPr>
      <w:r w:rsidRPr="00F5183F">
        <w:rPr>
          <w:rFonts w:asciiTheme="minorHAnsi" w:hAnsiTheme="minorHAnsi" w:cstheme="minorHAnsi"/>
          <w:b/>
          <w:i/>
          <w:color w:val="000000" w:themeColor="text1"/>
          <w:lang w:val="sr-Latn-RS"/>
        </w:rPr>
        <w:t xml:space="preserve">Obuhvat dece i mladih </w:t>
      </w:r>
      <w:r w:rsidR="006168DD" w:rsidRPr="00F5183F">
        <w:rPr>
          <w:rFonts w:asciiTheme="minorHAnsi" w:hAnsiTheme="minorHAnsi" w:cstheme="minorHAnsi"/>
          <w:b/>
          <w:i/>
          <w:color w:val="000000" w:themeColor="text1"/>
          <w:lang w:val="sr-Latn-RS"/>
        </w:rPr>
        <w:t>(0-</w:t>
      </w:r>
      <w:r w:rsidR="00A03038" w:rsidRPr="00F5183F">
        <w:rPr>
          <w:rFonts w:asciiTheme="minorHAnsi" w:hAnsiTheme="minorHAnsi" w:cstheme="minorHAnsi"/>
          <w:b/>
          <w:i/>
          <w:color w:val="000000" w:themeColor="text1"/>
          <w:lang w:val="sr-Latn-RS"/>
        </w:rPr>
        <w:t>19</w:t>
      </w:r>
      <w:r w:rsidR="006168DD" w:rsidRPr="00F5183F">
        <w:rPr>
          <w:rFonts w:asciiTheme="minorHAnsi" w:hAnsiTheme="minorHAnsi" w:cstheme="minorHAnsi"/>
          <w:b/>
          <w:i/>
          <w:color w:val="000000" w:themeColor="text1"/>
          <w:lang w:val="sr-Latn-RS"/>
        </w:rPr>
        <w:t xml:space="preserve">) </w:t>
      </w:r>
      <w:r w:rsidRPr="00F5183F">
        <w:rPr>
          <w:rFonts w:asciiTheme="minorHAnsi" w:hAnsiTheme="minorHAnsi" w:cstheme="minorHAnsi"/>
          <w:b/>
          <w:i/>
          <w:color w:val="000000" w:themeColor="text1"/>
          <w:lang w:val="sr-Latn-RS"/>
        </w:rPr>
        <w:t xml:space="preserve">programom dečijeg dodatka u opštini Bač </w:t>
      </w:r>
      <w:r w:rsidR="00EE6FA4" w:rsidRPr="00F5183F">
        <w:rPr>
          <w:rFonts w:asciiTheme="minorHAnsi" w:hAnsiTheme="minorHAnsi" w:cstheme="minorHAnsi"/>
          <w:b/>
          <w:bCs/>
          <w:i/>
          <w:iCs/>
          <w:color w:val="000000"/>
          <w:shd w:val="clear" w:color="auto" w:fill="FFFFFF"/>
          <w:lang w:val="sr-Latn-RS"/>
        </w:rPr>
        <w:t xml:space="preserve">iznosio je </w:t>
      </w:r>
      <w:r w:rsidR="00822760" w:rsidRPr="00F5183F">
        <w:rPr>
          <w:rFonts w:asciiTheme="minorHAnsi" w:hAnsiTheme="minorHAnsi" w:cstheme="minorHAnsi"/>
          <w:b/>
          <w:bCs/>
          <w:i/>
          <w:iCs/>
          <w:color w:val="000000"/>
          <w:shd w:val="clear" w:color="auto" w:fill="FFFFFF"/>
          <w:lang w:val="sr-Latn-RS"/>
        </w:rPr>
        <w:t xml:space="preserve">2019. godine </w:t>
      </w:r>
      <w:r w:rsidRPr="00F5183F">
        <w:rPr>
          <w:rFonts w:asciiTheme="minorHAnsi" w:hAnsiTheme="minorHAnsi" w:cstheme="minorHAnsi"/>
          <w:b/>
          <w:bCs/>
          <w:i/>
          <w:iCs/>
          <w:color w:val="000000"/>
          <w:shd w:val="clear" w:color="auto" w:fill="FFFFFF"/>
          <w:lang w:val="sr-Latn-RS"/>
        </w:rPr>
        <w:t>35,2</w:t>
      </w:r>
      <w:r w:rsidR="00EE6FA4" w:rsidRPr="00F5183F">
        <w:rPr>
          <w:rFonts w:asciiTheme="minorHAnsi" w:hAnsiTheme="minorHAnsi" w:cstheme="minorHAnsi"/>
          <w:b/>
          <w:bCs/>
          <w:i/>
          <w:iCs/>
          <w:color w:val="000000"/>
          <w:shd w:val="clear" w:color="auto" w:fill="FFFFFF"/>
          <w:lang w:val="sr-Latn-RS"/>
        </w:rPr>
        <w:t>%</w:t>
      </w:r>
      <w:r w:rsidR="00223819" w:rsidRPr="00F5183F">
        <w:rPr>
          <w:rFonts w:asciiTheme="minorHAnsi" w:hAnsiTheme="minorHAnsi" w:cstheme="minorHAnsi"/>
          <w:i/>
          <w:iCs/>
          <w:color w:val="000000"/>
          <w:shd w:val="clear" w:color="auto" w:fill="FFFFFF"/>
          <w:lang w:val="sr-Latn-RS"/>
        </w:rPr>
        <w:t xml:space="preserve"> </w:t>
      </w:r>
      <w:r w:rsidR="00223819" w:rsidRPr="00F5183F">
        <w:rPr>
          <w:rFonts w:asciiTheme="minorHAnsi" w:hAnsiTheme="minorHAnsi" w:cstheme="minorHAnsi"/>
          <w:b/>
          <w:bCs/>
          <w:i/>
          <w:iCs/>
          <w:color w:val="000000"/>
          <w:shd w:val="clear" w:color="auto" w:fill="FFFFFF"/>
          <w:lang w:val="sr-Latn-RS"/>
        </w:rPr>
        <w:t>i može se oceniti kao visok</w:t>
      </w:r>
      <w:r w:rsidR="00EE6FA4" w:rsidRPr="00F5183F">
        <w:rPr>
          <w:rFonts w:asciiTheme="minorHAnsi" w:hAnsiTheme="minorHAnsi" w:cstheme="minorHAnsi"/>
          <w:color w:val="000000"/>
          <w:shd w:val="clear" w:color="auto" w:fill="FFFFFF"/>
          <w:lang w:val="sr-Latn-RS"/>
        </w:rPr>
        <w:t xml:space="preserve">. </w:t>
      </w:r>
      <w:r w:rsidR="00EB1B2E" w:rsidRPr="00F5183F">
        <w:rPr>
          <w:rFonts w:asciiTheme="minorHAnsi" w:hAnsiTheme="minorHAnsi" w:cstheme="minorHAnsi"/>
          <w:color w:val="000000"/>
          <w:shd w:val="clear" w:color="auto" w:fill="FFFFFF"/>
          <w:lang w:val="sr-Latn-RS"/>
        </w:rPr>
        <w:t>U poređenju sa Republikom</w:t>
      </w:r>
      <w:r w:rsidR="00E70F4B" w:rsidRPr="00F5183F">
        <w:rPr>
          <w:rFonts w:asciiTheme="minorHAnsi" w:hAnsiTheme="minorHAnsi" w:cstheme="minorHAnsi"/>
          <w:color w:val="000000"/>
          <w:shd w:val="clear" w:color="auto" w:fill="FFFFFF"/>
          <w:lang w:val="sr-Latn-RS"/>
        </w:rPr>
        <w:t xml:space="preserve"> i </w:t>
      </w:r>
      <w:r w:rsidR="00EA2593" w:rsidRPr="00F5183F">
        <w:rPr>
          <w:rFonts w:asciiTheme="minorHAnsi" w:hAnsiTheme="minorHAnsi" w:cstheme="minorHAnsi"/>
          <w:color w:val="000000"/>
          <w:shd w:val="clear" w:color="auto" w:fill="FFFFFF"/>
          <w:lang w:val="sr-Latn-RS"/>
        </w:rPr>
        <w:t xml:space="preserve">pogotovo </w:t>
      </w:r>
      <w:r w:rsidR="00E70F4B" w:rsidRPr="00F5183F">
        <w:rPr>
          <w:rFonts w:asciiTheme="minorHAnsi" w:hAnsiTheme="minorHAnsi" w:cstheme="minorHAnsi"/>
          <w:color w:val="000000"/>
          <w:shd w:val="clear" w:color="auto" w:fill="FFFFFF"/>
          <w:lang w:val="sr-Latn-RS"/>
        </w:rPr>
        <w:t>sa Južnobačim okrugom</w:t>
      </w:r>
      <w:r w:rsidR="00EB1B2E" w:rsidRPr="00F5183F">
        <w:rPr>
          <w:rFonts w:asciiTheme="minorHAnsi" w:hAnsiTheme="minorHAnsi" w:cstheme="minorHAnsi"/>
          <w:color w:val="000000"/>
          <w:shd w:val="clear" w:color="auto" w:fill="FFFFFF"/>
          <w:lang w:val="sr-Latn-RS"/>
        </w:rPr>
        <w:t xml:space="preserve">, obuhvat dece i mladih programom dečijeg dodatka je </w:t>
      </w:r>
      <w:r w:rsidR="00323FEA" w:rsidRPr="00F5183F">
        <w:rPr>
          <w:rFonts w:asciiTheme="minorHAnsi" w:hAnsiTheme="minorHAnsi" w:cstheme="minorHAnsi"/>
          <w:color w:val="000000"/>
          <w:shd w:val="clear" w:color="auto" w:fill="FFFFFF"/>
          <w:lang w:val="sr-Latn-RS"/>
        </w:rPr>
        <w:t>značajno</w:t>
      </w:r>
      <w:r w:rsidR="00EB1B2E" w:rsidRPr="00F5183F">
        <w:rPr>
          <w:rFonts w:asciiTheme="minorHAnsi" w:hAnsiTheme="minorHAnsi" w:cstheme="minorHAnsi"/>
          <w:color w:val="000000"/>
          <w:shd w:val="clear" w:color="auto" w:fill="FFFFFF"/>
          <w:lang w:val="sr-Latn-RS"/>
        </w:rPr>
        <w:t xml:space="preserve"> ve</w:t>
      </w:r>
      <w:r w:rsidR="009A62D0" w:rsidRPr="00F5183F">
        <w:rPr>
          <w:rFonts w:asciiTheme="minorHAnsi" w:hAnsiTheme="minorHAnsi" w:cstheme="minorHAnsi"/>
          <w:color w:val="000000"/>
          <w:shd w:val="clear" w:color="auto" w:fill="FFFFFF"/>
          <w:lang w:val="sr-Latn-RS"/>
        </w:rPr>
        <w:t>ć</w:t>
      </w:r>
      <w:r w:rsidR="00223819" w:rsidRPr="00F5183F">
        <w:rPr>
          <w:rFonts w:asciiTheme="minorHAnsi" w:hAnsiTheme="minorHAnsi" w:cstheme="minorHAnsi"/>
          <w:color w:val="000000"/>
          <w:shd w:val="clear" w:color="auto" w:fill="FFFFFF"/>
          <w:lang w:val="sr-Latn-RS"/>
        </w:rPr>
        <w:t>i (Tabela 1)</w:t>
      </w:r>
      <w:r w:rsidR="00EB1B2E" w:rsidRPr="00F5183F">
        <w:rPr>
          <w:rFonts w:asciiTheme="minorHAnsi" w:hAnsiTheme="minorHAnsi" w:cstheme="minorHAnsi"/>
          <w:color w:val="000000"/>
          <w:shd w:val="clear" w:color="auto" w:fill="FFFFFF"/>
          <w:lang w:val="sr-Latn-RS"/>
        </w:rPr>
        <w:t>.</w:t>
      </w:r>
      <w:r w:rsidR="00520A36" w:rsidRPr="00F5183F">
        <w:rPr>
          <w:rFonts w:asciiTheme="minorHAnsi" w:hAnsiTheme="minorHAnsi" w:cstheme="minorHAnsi"/>
          <w:color w:val="000000"/>
          <w:shd w:val="clear" w:color="auto" w:fill="FFFFFF"/>
          <w:lang w:val="sr-Latn-RS"/>
        </w:rPr>
        <w:t xml:space="preserve"> </w:t>
      </w:r>
      <w:r w:rsidR="00E70F4B" w:rsidRPr="00F5183F">
        <w:rPr>
          <w:rFonts w:asciiTheme="minorHAnsi" w:hAnsiTheme="minorHAnsi" w:cstheme="minorHAnsi"/>
          <w:color w:val="000000"/>
          <w:shd w:val="clear" w:color="auto" w:fill="FFFFFF"/>
          <w:lang w:val="sr-Latn-RS"/>
        </w:rPr>
        <w:t xml:space="preserve"> </w:t>
      </w:r>
      <w:r w:rsidR="009B3237" w:rsidRPr="00F5183F">
        <w:rPr>
          <w:rFonts w:asciiTheme="minorHAnsi" w:hAnsiTheme="minorHAnsi" w:cstheme="minorHAnsi"/>
          <w:color w:val="000000"/>
          <w:shd w:val="clear" w:color="auto" w:fill="FFFFFF"/>
          <w:lang w:val="sr-Latn-RS"/>
        </w:rPr>
        <w:t xml:space="preserve">Prema podacima </w:t>
      </w:r>
      <w:r w:rsidR="00BB3C0E" w:rsidRPr="00F5183F">
        <w:rPr>
          <w:rFonts w:asciiTheme="minorHAnsi" w:hAnsiTheme="minorHAnsi" w:cstheme="minorHAnsi"/>
          <w:color w:val="000000"/>
          <w:shd w:val="clear" w:color="auto" w:fill="FFFFFF"/>
          <w:lang w:val="sr-Latn-RS"/>
        </w:rPr>
        <w:t>D</w:t>
      </w:r>
      <w:r w:rsidR="009B3237" w:rsidRPr="00F5183F">
        <w:rPr>
          <w:rFonts w:asciiTheme="minorHAnsi" w:hAnsiTheme="minorHAnsi" w:cstheme="minorHAnsi"/>
          <w:color w:val="000000"/>
          <w:shd w:val="clear" w:color="auto" w:fill="FFFFFF"/>
          <w:lang w:val="sr-Latn-RS"/>
        </w:rPr>
        <w:t>ev</w:t>
      </w:r>
      <w:r w:rsidR="006168DD" w:rsidRPr="00F5183F">
        <w:rPr>
          <w:rFonts w:asciiTheme="minorHAnsi" w:hAnsiTheme="minorHAnsi" w:cstheme="minorHAnsi"/>
          <w:color w:val="000000"/>
          <w:shd w:val="clear" w:color="auto" w:fill="FFFFFF"/>
          <w:lang w:val="sr-Latn-RS"/>
        </w:rPr>
        <w:t>In</w:t>
      </w:r>
      <w:r w:rsidR="009B3237" w:rsidRPr="00F5183F">
        <w:rPr>
          <w:rFonts w:asciiTheme="minorHAnsi" w:hAnsiTheme="minorHAnsi" w:cstheme="minorHAnsi"/>
          <w:color w:val="000000"/>
          <w:shd w:val="clear" w:color="auto" w:fill="FFFFFF"/>
          <w:lang w:val="sr-Latn-RS"/>
        </w:rPr>
        <w:t>fo</w:t>
      </w:r>
      <w:r w:rsidR="006168DD" w:rsidRPr="00F5183F">
        <w:rPr>
          <w:rFonts w:asciiTheme="minorHAnsi" w:hAnsiTheme="minorHAnsi" w:cstheme="minorHAnsi"/>
          <w:color w:val="000000"/>
          <w:shd w:val="clear" w:color="auto" w:fill="FFFFFF"/>
          <w:lang w:val="sr-Latn-RS"/>
        </w:rPr>
        <w:t xml:space="preserve"> baze,</w:t>
      </w:r>
      <w:r w:rsidR="009B3237" w:rsidRPr="00F5183F">
        <w:rPr>
          <w:rFonts w:asciiTheme="minorHAnsi" w:hAnsiTheme="minorHAnsi" w:cstheme="minorHAnsi"/>
          <w:color w:val="000000"/>
          <w:shd w:val="clear" w:color="auto" w:fill="FFFFFF"/>
          <w:lang w:val="sr-Latn-RS"/>
        </w:rPr>
        <w:t xml:space="preserve"> Bač spada među tridesetak JLS sa najvećim </w:t>
      </w:r>
      <w:r w:rsidR="006168DD" w:rsidRPr="00F5183F">
        <w:rPr>
          <w:rFonts w:asciiTheme="minorHAnsi" w:hAnsiTheme="minorHAnsi" w:cstheme="minorHAnsi"/>
          <w:color w:val="000000"/>
          <w:shd w:val="clear" w:color="auto" w:fill="FFFFFF"/>
          <w:lang w:val="sr-Latn-RS"/>
        </w:rPr>
        <w:t>udelom</w:t>
      </w:r>
      <w:r w:rsidR="009B3237" w:rsidRPr="00F5183F">
        <w:rPr>
          <w:rFonts w:asciiTheme="minorHAnsi" w:hAnsiTheme="minorHAnsi" w:cstheme="minorHAnsi"/>
          <w:color w:val="000000"/>
          <w:shd w:val="clear" w:color="auto" w:fill="FFFFFF"/>
          <w:lang w:val="sr-Latn-RS"/>
        </w:rPr>
        <w:t xml:space="preserve"> korisnika DD </w:t>
      </w:r>
      <w:r w:rsidR="006168DD" w:rsidRPr="00F5183F">
        <w:rPr>
          <w:rFonts w:asciiTheme="minorHAnsi" w:hAnsiTheme="minorHAnsi" w:cstheme="minorHAnsi"/>
          <w:color w:val="000000"/>
          <w:shd w:val="clear" w:color="auto" w:fill="FFFFFF"/>
          <w:lang w:val="sr-Latn-RS"/>
        </w:rPr>
        <w:t xml:space="preserve">koji primaju </w:t>
      </w:r>
      <w:r w:rsidR="009B3237" w:rsidRPr="00F5183F">
        <w:rPr>
          <w:rFonts w:asciiTheme="minorHAnsi" w:hAnsiTheme="minorHAnsi" w:cstheme="minorHAnsi"/>
          <w:color w:val="000000"/>
          <w:shd w:val="clear" w:color="auto" w:fill="FFFFFF"/>
          <w:lang w:val="sr-Latn-RS"/>
        </w:rPr>
        <w:t>osnovni iznos</w:t>
      </w:r>
      <w:r w:rsidR="006168DD" w:rsidRPr="00F5183F">
        <w:rPr>
          <w:rFonts w:asciiTheme="minorHAnsi" w:hAnsiTheme="minorHAnsi" w:cstheme="minorHAnsi"/>
          <w:color w:val="000000"/>
          <w:shd w:val="clear" w:color="auto" w:fill="FFFFFF"/>
          <w:lang w:val="sr-Latn-RS"/>
        </w:rPr>
        <w:t xml:space="preserve"> prava</w:t>
      </w:r>
      <w:r w:rsidR="009B3237" w:rsidRPr="00F5183F">
        <w:rPr>
          <w:rFonts w:asciiTheme="minorHAnsi" w:hAnsiTheme="minorHAnsi" w:cstheme="minorHAnsi"/>
          <w:color w:val="000000"/>
          <w:shd w:val="clear" w:color="auto" w:fill="FFFFFF"/>
          <w:lang w:val="sr-Latn-RS"/>
        </w:rPr>
        <w:t xml:space="preserve"> u odnosu na populaciju dece</w:t>
      </w:r>
      <w:r w:rsidR="00741F8A" w:rsidRPr="00F5183F">
        <w:rPr>
          <w:rFonts w:asciiTheme="minorHAnsi" w:hAnsiTheme="minorHAnsi" w:cstheme="minorHAnsi"/>
          <w:color w:val="000000"/>
          <w:shd w:val="clear" w:color="auto" w:fill="FFFFFF"/>
          <w:lang w:val="sr-Latn-RS"/>
        </w:rPr>
        <w:t xml:space="preserve"> (rang 117)</w:t>
      </w:r>
      <w:r w:rsidR="009B3237" w:rsidRPr="00F5183F">
        <w:rPr>
          <w:rFonts w:asciiTheme="minorHAnsi" w:hAnsiTheme="minorHAnsi" w:cstheme="minorHAnsi"/>
          <w:color w:val="000000"/>
          <w:shd w:val="clear" w:color="auto" w:fill="FFFFFF"/>
          <w:lang w:val="sr-Latn-RS"/>
        </w:rPr>
        <w:t>.</w:t>
      </w:r>
      <w:r w:rsidR="009B3237" w:rsidRPr="00F5183F">
        <w:rPr>
          <w:rStyle w:val="FootnoteReference"/>
          <w:rFonts w:asciiTheme="minorHAnsi" w:hAnsiTheme="minorHAnsi" w:cstheme="minorHAnsi"/>
          <w:color w:val="000000"/>
          <w:shd w:val="clear" w:color="auto" w:fill="FFFFFF"/>
          <w:lang w:val="sr-Latn-RS"/>
        </w:rPr>
        <w:footnoteReference w:id="6"/>
      </w:r>
    </w:p>
    <w:p w14:paraId="357A47AB" w14:textId="77777777" w:rsidR="00841A8C" w:rsidRPr="00F5183F" w:rsidRDefault="00841A8C" w:rsidP="00AB2806">
      <w:pPr>
        <w:jc w:val="both"/>
        <w:rPr>
          <w:rFonts w:asciiTheme="minorHAnsi" w:hAnsiTheme="minorHAnsi" w:cstheme="minorHAnsi"/>
          <w:color w:val="000000"/>
          <w:shd w:val="clear" w:color="auto" w:fill="FFFFFF"/>
          <w:lang w:val="sr-Latn-RS"/>
        </w:rPr>
      </w:pPr>
    </w:p>
    <w:p w14:paraId="5EE2DBEA" w14:textId="59D0773D" w:rsidR="00520A36" w:rsidRPr="00F5183F" w:rsidRDefault="00520A36" w:rsidP="00AB2806">
      <w:pPr>
        <w:jc w:val="both"/>
        <w:rPr>
          <w:rFonts w:asciiTheme="minorHAnsi" w:hAnsiTheme="minorHAnsi"/>
          <w:lang w:val="sr-Latn-RS"/>
        </w:rPr>
      </w:pPr>
      <w:r w:rsidRPr="00F5183F">
        <w:rPr>
          <w:rFonts w:asciiTheme="minorHAnsi" w:hAnsiTheme="minorHAnsi" w:cstheme="minorHAnsi"/>
          <w:lang w:val="sr-Latn-RS"/>
        </w:rPr>
        <w:t xml:space="preserve">S obzirom na </w:t>
      </w:r>
      <w:r w:rsidR="005F18C6" w:rsidRPr="00F5183F">
        <w:rPr>
          <w:rFonts w:asciiTheme="minorHAnsi" w:hAnsiTheme="minorHAnsi"/>
          <w:lang w:val="sr-Latn-RS"/>
        </w:rPr>
        <w:t>dohodovne k</w:t>
      </w:r>
      <w:r w:rsidR="00D2296C" w:rsidRPr="00F5183F">
        <w:rPr>
          <w:rFonts w:asciiTheme="minorHAnsi" w:hAnsiTheme="minorHAnsi"/>
          <w:lang w:val="sr-Latn-RS"/>
        </w:rPr>
        <w:t>riterijume za ost</w:t>
      </w:r>
      <w:r w:rsidR="005B38C5" w:rsidRPr="00F5183F">
        <w:rPr>
          <w:rFonts w:asciiTheme="minorHAnsi" w:hAnsiTheme="minorHAnsi"/>
          <w:lang w:val="sr-Latn-RS"/>
        </w:rPr>
        <w:t>v</w:t>
      </w:r>
      <w:r w:rsidR="00D2296C" w:rsidRPr="00F5183F">
        <w:rPr>
          <w:rFonts w:asciiTheme="minorHAnsi" w:hAnsiTheme="minorHAnsi"/>
          <w:lang w:val="sr-Latn-RS"/>
        </w:rPr>
        <w:t>ariv</w:t>
      </w:r>
      <w:r w:rsidR="005B38C5" w:rsidRPr="00F5183F">
        <w:rPr>
          <w:rFonts w:asciiTheme="minorHAnsi" w:hAnsiTheme="minorHAnsi"/>
          <w:lang w:val="sr-Latn-RS"/>
        </w:rPr>
        <w:t xml:space="preserve">anje </w:t>
      </w:r>
      <w:r w:rsidRPr="00F5183F">
        <w:rPr>
          <w:rFonts w:asciiTheme="minorHAnsi" w:hAnsiTheme="minorHAnsi"/>
          <w:lang w:val="sr-Latn-RS"/>
        </w:rPr>
        <w:t xml:space="preserve">prava na </w:t>
      </w:r>
      <w:r w:rsidR="005B38C5" w:rsidRPr="00F5183F">
        <w:rPr>
          <w:rFonts w:asciiTheme="minorHAnsi" w:hAnsiTheme="minorHAnsi"/>
          <w:lang w:val="sr-Latn-RS"/>
        </w:rPr>
        <w:t>DD,</w:t>
      </w:r>
      <w:r w:rsidR="006168DD" w:rsidRPr="00F5183F">
        <w:rPr>
          <w:rStyle w:val="FootnoteReference"/>
          <w:rFonts w:asciiTheme="minorHAnsi" w:hAnsiTheme="minorHAnsi"/>
          <w:lang w:val="sr-Latn-RS"/>
        </w:rPr>
        <w:footnoteReference w:id="7"/>
      </w:r>
      <w:r w:rsidR="006168DD" w:rsidRPr="00F5183F">
        <w:rPr>
          <w:rFonts w:asciiTheme="minorHAnsi" w:hAnsiTheme="minorHAnsi"/>
          <w:lang w:val="sr-Latn-RS"/>
        </w:rPr>
        <w:t xml:space="preserve"> </w:t>
      </w:r>
      <w:r w:rsidR="005B38C5" w:rsidRPr="00F5183F">
        <w:rPr>
          <w:rFonts w:asciiTheme="minorHAnsi" w:hAnsiTheme="minorHAnsi"/>
          <w:lang w:val="sr-Latn-RS"/>
        </w:rPr>
        <w:t>o</w:t>
      </w:r>
      <w:r w:rsidR="002663CF" w:rsidRPr="00F5183F">
        <w:rPr>
          <w:rFonts w:asciiTheme="minorHAnsi" w:hAnsiTheme="minorHAnsi"/>
          <w:lang w:val="sr-Latn-RS"/>
        </w:rPr>
        <w:t xml:space="preserve">vako visok obuhvat dečijim dodatkom </w:t>
      </w:r>
      <w:r w:rsidR="00BE6187" w:rsidRPr="00F5183F">
        <w:rPr>
          <w:rFonts w:asciiTheme="minorHAnsi" w:hAnsiTheme="minorHAnsi"/>
          <w:lang w:val="sr-Latn-RS"/>
        </w:rPr>
        <w:t>ukazuje</w:t>
      </w:r>
      <w:r w:rsidR="002663CF" w:rsidRPr="00F5183F">
        <w:rPr>
          <w:rFonts w:asciiTheme="minorHAnsi" w:hAnsiTheme="minorHAnsi"/>
          <w:lang w:val="sr-Latn-RS"/>
        </w:rPr>
        <w:t xml:space="preserve"> na </w:t>
      </w:r>
      <w:r w:rsidR="00841A8C" w:rsidRPr="00F5183F">
        <w:rPr>
          <w:rFonts w:asciiTheme="minorHAnsi" w:hAnsiTheme="minorHAnsi"/>
          <w:lang w:val="sr-Latn-RS"/>
        </w:rPr>
        <w:t xml:space="preserve">slabiji </w:t>
      </w:r>
      <w:r w:rsidR="002663CF" w:rsidRPr="00F5183F">
        <w:rPr>
          <w:rFonts w:asciiTheme="minorHAnsi" w:hAnsiTheme="minorHAnsi"/>
          <w:lang w:val="sr-Latn-RS"/>
        </w:rPr>
        <w:t xml:space="preserve">materijalni položaj porodica sa decom u </w:t>
      </w:r>
      <w:r w:rsidRPr="00F5183F">
        <w:rPr>
          <w:rFonts w:asciiTheme="minorHAnsi" w:hAnsiTheme="minorHAnsi"/>
          <w:lang w:val="sr-Latn-RS"/>
        </w:rPr>
        <w:t>opštini Bač</w:t>
      </w:r>
      <w:r w:rsidR="00841A8C" w:rsidRPr="00F5183F">
        <w:rPr>
          <w:rFonts w:asciiTheme="minorHAnsi" w:hAnsiTheme="minorHAnsi"/>
          <w:lang w:val="sr-Latn-RS"/>
        </w:rPr>
        <w:t xml:space="preserve"> u odnosu na </w:t>
      </w:r>
      <w:r w:rsidR="00841A8C" w:rsidRPr="00F5183F">
        <w:rPr>
          <w:rFonts w:asciiTheme="minorHAnsi" w:hAnsiTheme="minorHAnsi"/>
          <w:lang w:val="sr-Latn-RS"/>
        </w:rPr>
        <w:lastRenderedPageBreak/>
        <w:t>okrug i Republiku</w:t>
      </w:r>
      <w:r w:rsidR="00FB740D" w:rsidRPr="00F5183F">
        <w:rPr>
          <w:rFonts w:asciiTheme="minorHAnsi" w:hAnsiTheme="minorHAnsi"/>
          <w:lang w:val="sr-Latn-RS"/>
        </w:rPr>
        <w:t>, iako razlike u obuhvatu po opštinama i gradovima ne mogu da se pripišu samo ekonomskim faktorima.</w:t>
      </w:r>
      <w:r w:rsidR="00FB740D" w:rsidRPr="00F5183F">
        <w:rPr>
          <w:rStyle w:val="FootnoteReference"/>
          <w:rFonts w:asciiTheme="minorHAnsi" w:hAnsiTheme="minorHAnsi"/>
          <w:lang w:val="sr-Latn-RS"/>
        </w:rPr>
        <w:footnoteReference w:id="8"/>
      </w:r>
      <w:r w:rsidR="00FB740D" w:rsidRPr="00F5183F">
        <w:rPr>
          <w:rFonts w:asciiTheme="minorHAnsi" w:hAnsiTheme="minorHAnsi"/>
          <w:lang w:val="sr-Latn-RS"/>
        </w:rPr>
        <w:t xml:space="preserve"> </w:t>
      </w:r>
      <w:r w:rsidR="00841A8C" w:rsidRPr="00F5183F">
        <w:rPr>
          <w:rFonts w:asciiTheme="minorHAnsi" w:hAnsiTheme="minorHAnsi"/>
          <w:lang w:val="sr-Latn-RS"/>
        </w:rPr>
        <w:t>U Južnobačkom okrugu se nalazi znatan broj najrazvijenijih JLS i grad Novi Sad, pa je razlika u obuhvatu očekivana.</w:t>
      </w:r>
    </w:p>
    <w:p w14:paraId="2D7B57CC" w14:textId="027A3E0C" w:rsidR="006243F0" w:rsidRPr="00F5183F" w:rsidRDefault="006243F0" w:rsidP="00AB2806">
      <w:pPr>
        <w:jc w:val="both"/>
        <w:rPr>
          <w:rFonts w:asciiTheme="minorHAnsi" w:hAnsiTheme="minorHAnsi"/>
          <w:lang w:val="sr-Latn-RS"/>
        </w:rPr>
      </w:pPr>
    </w:p>
    <w:p w14:paraId="370DBD2B" w14:textId="3C2ACAA0" w:rsidR="008824FB" w:rsidRPr="00F5183F" w:rsidRDefault="008824FB" w:rsidP="008824FB">
      <w:pPr>
        <w:jc w:val="both"/>
        <w:rPr>
          <w:rFonts w:asciiTheme="minorHAnsi" w:hAnsiTheme="minorHAnsi"/>
          <w:i/>
          <w:iCs/>
          <w:lang w:val="sr-Latn-RS"/>
        </w:rPr>
      </w:pPr>
      <w:r w:rsidRPr="00F5183F">
        <w:rPr>
          <w:rFonts w:asciiTheme="minorHAnsi" w:hAnsiTheme="minorHAnsi"/>
          <w:b/>
          <w:bCs/>
          <w:i/>
          <w:iCs/>
          <w:lang w:val="sr-Latn-RS"/>
        </w:rPr>
        <w:t>Obuhvat se tokom vremena smanjivao, s obzirom da se broj korisnika dečijeg dodatka smanjivao brže od broja dece.</w:t>
      </w:r>
      <w:r w:rsidRPr="00F5183F">
        <w:rPr>
          <w:rStyle w:val="FootnoteReference"/>
          <w:rFonts w:asciiTheme="minorHAnsi" w:hAnsiTheme="minorHAnsi"/>
          <w:b/>
          <w:bCs/>
          <w:i/>
          <w:iCs/>
          <w:lang w:val="sr-Latn-RS"/>
        </w:rPr>
        <w:footnoteReference w:id="9"/>
      </w:r>
      <w:r w:rsidR="00C631C8" w:rsidRPr="00F5183F">
        <w:rPr>
          <w:rFonts w:asciiTheme="minorHAnsi" w:hAnsiTheme="minorHAnsi"/>
          <w:i/>
          <w:iCs/>
          <w:lang w:val="sr-Latn-RS"/>
        </w:rPr>
        <w:t xml:space="preserve"> </w:t>
      </w:r>
      <w:r w:rsidR="00C631C8" w:rsidRPr="00F5183F">
        <w:rPr>
          <w:rFonts w:asciiTheme="minorHAnsi" w:hAnsiTheme="minorHAnsi"/>
          <w:lang w:val="sr-Latn-RS"/>
        </w:rPr>
        <w:t>Obuhvat programom DD sa uvećanim iznosom se nije promenio.</w:t>
      </w:r>
    </w:p>
    <w:p w14:paraId="26AAF128" w14:textId="77777777" w:rsidR="006243F0" w:rsidRPr="00F5183F" w:rsidRDefault="006243F0" w:rsidP="00AB2806">
      <w:pPr>
        <w:jc w:val="both"/>
        <w:rPr>
          <w:rFonts w:asciiTheme="minorHAnsi" w:hAnsiTheme="minorHAnsi"/>
          <w:lang w:val="sr-Latn-RS"/>
        </w:rPr>
      </w:pPr>
    </w:p>
    <w:p w14:paraId="2B9141E3" w14:textId="5CBEA360" w:rsidR="00E44951" w:rsidRPr="00F5183F" w:rsidRDefault="00E44951" w:rsidP="00AB2806">
      <w:pPr>
        <w:jc w:val="both"/>
        <w:rPr>
          <w:rFonts w:asciiTheme="minorHAnsi" w:hAnsiTheme="minorHAnsi"/>
          <w:bCs/>
          <w:lang w:val="sr-Latn-RS"/>
        </w:rPr>
      </w:pPr>
      <w:r w:rsidRPr="00F5183F">
        <w:rPr>
          <w:rFonts w:asciiTheme="minorHAnsi" w:hAnsiTheme="minorHAnsi"/>
          <w:bCs/>
          <w:lang w:val="sr-Latn-RS"/>
        </w:rPr>
        <w:t>Tabela</w:t>
      </w:r>
      <w:r w:rsidR="0091006B" w:rsidRPr="00F5183F">
        <w:rPr>
          <w:rFonts w:asciiTheme="minorHAnsi" w:hAnsiTheme="minorHAnsi"/>
          <w:bCs/>
          <w:lang w:val="sr-Latn-RS"/>
        </w:rPr>
        <w:t xml:space="preserve"> </w:t>
      </w:r>
      <w:r w:rsidR="0077458C" w:rsidRPr="00F5183F">
        <w:rPr>
          <w:rFonts w:asciiTheme="minorHAnsi" w:hAnsiTheme="minorHAnsi"/>
          <w:bCs/>
          <w:lang w:val="sr-Latn-RS"/>
        </w:rPr>
        <w:t>1</w:t>
      </w:r>
      <w:r w:rsidRPr="00F5183F">
        <w:rPr>
          <w:rFonts w:asciiTheme="minorHAnsi" w:hAnsiTheme="minorHAnsi"/>
          <w:bCs/>
          <w:lang w:val="sr-Latn-RS"/>
        </w:rPr>
        <w:t>.</w:t>
      </w:r>
      <w:r w:rsidR="0091006B" w:rsidRPr="00F5183F">
        <w:rPr>
          <w:rFonts w:asciiTheme="minorHAnsi" w:hAnsiTheme="minorHAnsi"/>
          <w:bCs/>
          <w:lang w:val="sr-Latn-RS"/>
        </w:rPr>
        <w:t xml:space="preserve"> </w:t>
      </w:r>
      <w:r w:rsidRPr="00F5183F">
        <w:rPr>
          <w:rFonts w:asciiTheme="minorHAnsi" w:hAnsiTheme="minorHAnsi"/>
          <w:bCs/>
          <w:lang w:val="sr-Latn-RS"/>
        </w:rPr>
        <w:t xml:space="preserve">Obuhvat programima </w:t>
      </w:r>
      <w:r w:rsidR="00D046F4" w:rsidRPr="00F5183F">
        <w:rPr>
          <w:rFonts w:asciiTheme="minorHAnsi" w:hAnsiTheme="minorHAnsi"/>
          <w:bCs/>
          <w:lang w:val="sr-Latn-RS"/>
        </w:rPr>
        <w:t>za smanjenje</w:t>
      </w:r>
      <w:r w:rsidRPr="00F5183F">
        <w:rPr>
          <w:rFonts w:asciiTheme="minorHAnsi" w:hAnsiTheme="minorHAnsi"/>
          <w:bCs/>
          <w:lang w:val="sr-Latn-RS"/>
        </w:rPr>
        <w:t xml:space="preserve"> siromaš</w:t>
      </w:r>
      <w:r w:rsidR="00D046F4" w:rsidRPr="00F5183F">
        <w:rPr>
          <w:rFonts w:asciiTheme="minorHAnsi" w:hAnsiTheme="minorHAnsi"/>
          <w:bCs/>
          <w:lang w:val="sr-Latn-RS"/>
        </w:rPr>
        <w:t>tva</w:t>
      </w:r>
      <w:r w:rsidRPr="00F5183F">
        <w:rPr>
          <w:rFonts w:asciiTheme="minorHAnsi" w:hAnsiTheme="minorHAnsi"/>
          <w:bCs/>
          <w:lang w:val="sr-Latn-RS"/>
        </w:rPr>
        <w:t xml:space="preserve"> </w:t>
      </w:r>
      <w:r w:rsidR="00D046F4" w:rsidRPr="00F5183F">
        <w:rPr>
          <w:rFonts w:asciiTheme="minorHAnsi" w:hAnsiTheme="minorHAnsi"/>
          <w:bCs/>
          <w:lang w:val="sr-Latn-RS"/>
        </w:rPr>
        <w:t xml:space="preserve">u nadležnosti </w:t>
      </w:r>
      <w:r w:rsidRPr="00F5183F">
        <w:rPr>
          <w:rFonts w:asciiTheme="minorHAnsi" w:hAnsiTheme="minorHAnsi"/>
          <w:bCs/>
          <w:lang w:val="sr-Latn-RS"/>
        </w:rPr>
        <w:t xml:space="preserve">nacionalnog nivoa (NSP </w:t>
      </w:r>
      <w:r w:rsidR="00783517" w:rsidRPr="00F5183F">
        <w:rPr>
          <w:rFonts w:asciiTheme="minorHAnsi" w:hAnsiTheme="minorHAnsi"/>
          <w:bCs/>
          <w:lang w:val="sr-Latn-RS"/>
        </w:rPr>
        <w:t>i</w:t>
      </w:r>
      <w:r w:rsidRPr="00F5183F">
        <w:rPr>
          <w:rFonts w:asciiTheme="minorHAnsi" w:hAnsiTheme="minorHAnsi"/>
          <w:bCs/>
          <w:lang w:val="sr-Latn-RS"/>
        </w:rPr>
        <w:t xml:space="preserve"> DD)</w:t>
      </w:r>
      <w:r w:rsidR="006427DE" w:rsidRPr="00F5183F">
        <w:rPr>
          <w:rFonts w:asciiTheme="minorHAnsi" w:hAnsiTheme="minorHAnsi"/>
          <w:bCs/>
          <w:lang w:val="sr-Latn-RS"/>
        </w:rPr>
        <w:t>, 201</w:t>
      </w:r>
      <w:r w:rsidR="00D03827" w:rsidRPr="00F5183F">
        <w:rPr>
          <w:rFonts w:asciiTheme="minorHAnsi" w:hAnsiTheme="minorHAnsi"/>
          <w:bCs/>
          <w:lang w:val="sr-Latn-RS"/>
        </w:rPr>
        <w:t>9.</w:t>
      </w:r>
      <w:r w:rsidR="00C11EB5" w:rsidRPr="00F5183F">
        <w:rPr>
          <w:rFonts w:asciiTheme="minorHAnsi" w:hAnsiTheme="minorHAnsi"/>
          <w:bCs/>
          <w:lang w:val="sr-Latn-RS"/>
        </w:rPr>
        <w:t xml:space="preserve"> (u %)</w:t>
      </w:r>
    </w:p>
    <w:tbl>
      <w:tblPr>
        <w:tblW w:w="9276" w:type="dxa"/>
        <w:tblLook w:val="04A0" w:firstRow="1" w:lastRow="0" w:firstColumn="1" w:lastColumn="0" w:noHBand="0" w:noVBand="1"/>
      </w:tblPr>
      <w:tblGrid>
        <w:gridCol w:w="4314"/>
        <w:gridCol w:w="2337"/>
        <w:gridCol w:w="1361"/>
        <w:gridCol w:w="1264"/>
      </w:tblGrid>
      <w:tr w:rsidR="006407B5" w:rsidRPr="00F5183F" w14:paraId="3450278E" w14:textId="35D2470D" w:rsidTr="006407B5">
        <w:trPr>
          <w:trHeight w:val="420"/>
        </w:trPr>
        <w:tc>
          <w:tcPr>
            <w:tcW w:w="4314" w:type="dxa"/>
            <w:tcBorders>
              <w:top w:val="single" w:sz="4" w:space="0" w:color="auto"/>
              <w:left w:val="nil"/>
              <w:bottom w:val="single" w:sz="8" w:space="0" w:color="1F4E78"/>
              <w:right w:val="nil"/>
            </w:tcBorders>
            <w:shd w:val="clear" w:color="auto" w:fill="auto"/>
            <w:noWrap/>
            <w:vAlign w:val="bottom"/>
            <w:hideMark/>
          </w:tcPr>
          <w:p w14:paraId="7E9976A8" w14:textId="77777777" w:rsidR="006407B5" w:rsidRPr="00F5183F" w:rsidRDefault="006407B5" w:rsidP="00E44951">
            <w:pPr>
              <w:rPr>
                <w:rFonts w:asciiTheme="minorHAnsi" w:hAnsiTheme="minorHAnsi"/>
                <w:bCs/>
                <w:color w:val="000000"/>
                <w:lang w:val="sr-Latn-RS"/>
              </w:rPr>
            </w:pPr>
            <w:r w:rsidRPr="00F5183F">
              <w:rPr>
                <w:rFonts w:asciiTheme="minorHAnsi" w:hAnsiTheme="minorHAnsi"/>
                <w:bCs/>
                <w:color w:val="000000"/>
                <w:lang w:val="sr-Latn-RS"/>
              </w:rPr>
              <w:t> </w:t>
            </w:r>
          </w:p>
        </w:tc>
        <w:tc>
          <w:tcPr>
            <w:tcW w:w="2337" w:type="dxa"/>
            <w:tcBorders>
              <w:top w:val="single" w:sz="4" w:space="0" w:color="auto"/>
              <w:left w:val="nil"/>
              <w:bottom w:val="single" w:sz="8" w:space="0" w:color="1F4E78"/>
              <w:right w:val="nil"/>
            </w:tcBorders>
            <w:shd w:val="clear" w:color="auto" w:fill="auto"/>
            <w:noWrap/>
            <w:vAlign w:val="bottom"/>
            <w:hideMark/>
          </w:tcPr>
          <w:p w14:paraId="6069F906" w14:textId="0A174635" w:rsidR="006407B5" w:rsidRPr="00F5183F" w:rsidRDefault="006407B5" w:rsidP="00E44951">
            <w:pPr>
              <w:jc w:val="center"/>
              <w:rPr>
                <w:rFonts w:asciiTheme="minorHAnsi" w:hAnsiTheme="minorHAnsi"/>
                <w:bCs/>
                <w:color w:val="000000"/>
                <w:lang w:val="sr-Latn-RS"/>
              </w:rPr>
            </w:pPr>
            <w:r w:rsidRPr="00F5183F">
              <w:rPr>
                <w:rFonts w:asciiTheme="minorHAnsi" w:hAnsiTheme="minorHAnsi"/>
                <w:bCs/>
                <w:color w:val="000000"/>
                <w:lang w:val="sr-Latn-RS"/>
              </w:rPr>
              <w:t>Bač</w:t>
            </w:r>
          </w:p>
        </w:tc>
        <w:tc>
          <w:tcPr>
            <w:tcW w:w="1361" w:type="dxa"/>
            <w:tcBorders>
              <w:top w:val="single" w:sz="4" w:space="0" w:color="auto"/>
              <w:left w:val="nil"/>
              <w:bottom w:val="single" w:sz="8" w:space="0" w:color="1F4E78"/>
              <w:right w:val="nil"/>
            </w:tcBorders>
            <w:shd w:val="clear" w:color="auto" w:fill="auto"/>
            <w:noWrap/>
            <w:vAlign w:val="bottom"/>
            <w:hideMark/>
          </w:tcPr>
          <w:p w14:paraId="5C834DE5" w14:textId="269B4BEE" w:rsidR="006407B5" w:rsidRPr="00F5183F" w:rsidRDefault="006407B5" w:rsidP="00E44951">
            <w:pPr>
              <w:jc w:val="center"/>
              <w:rPr>
                <w:rFonts w:asciiTheme="minorHAnsi" w:hAnsiTheme="minorHAnsi"/>
                <w:bCs/>
                <w:color w:val="000000"/>
                <w:lang w:val="sr-Latn-RS"/>
              </w:rPr>
            </w:pPr>
            <w:r w:rsidRPr="00F5183F">
              <w:rPr>
                <w:rFonts w:asciiTheme="minorHAnsi" w:hAnsiTheme="minorHAnsi"/>
                <w:bCs/>
                <w:color w:val="000000"/>
                <w:lang w:val="sr-Latn-RS"/>
              </w:rPr>
              <w:t>Južnobački okrug</w:t>
            </w:r>
          </w:p>
        </w:tc>
        <w:tc>
          <w:tcPr>
            <w:tcW w:w="1264" w:type="dxa"/>
            <w:tcBorders>
              <w:top w:val="single" w:sz="4" w:space="0" w:color="auto"/>
              <w:left w:val="nil"/>
              <w:bottom w:val="single" w:sz="8" w:space="0" w:color="1F4E78"/>
              <w:right w:val="nil"/>
            </w:tcBorders>
          </w:tcPr>
          <w:p w14:paraId="1C94125F" w14:textId="47056580" w:rsidR="006407B5" w:rsidRPr="00F5183F" w:rsidRDefault="006407B5" w:rsidP="00E44951">
            <w:pPr>
              <w:jc w:val="center"/>
              <w:rPr>
                <w:rFonts w:asciiTheme="minorHAnsi" w:hAnsiTheme="minorHAnsi"/>
                <w:bCs/>
                <w:color w:val="000000"/>
                <w:lang w:val="sr-Latn-RS"/>
              </w:rPr>
            </w:pPr>
            <w:r w:rsidRPr="00F5183F">
              <w:rPr>
                <w:rFonts w:asciiTheme="minorHAnsi" w:hAnsiTheme="minorHAnsi"/>
                <w:bCs/>
                <w:color w:val="000000"/>
                <w:lang w:val="sr-Latn-RS"/>
              </w:rPr>
              <w:t xml:space="preserve">Republika Srbija  </w:t>
            </w:r>
          </w:p>
        </w:tc>
      </w:tr>
      <w:tr w:rsidR="006407B5" w:rsidRPr="00F5183F" w14:paraId="10C89294" w14:textId="77919A94" w:rsidTr="006407B5">
        <w:trPr>
          <w:trHeight w:val="440"/>
        </w:trPr>
        <w:tc>
          <w:tcPr>
            <w:tcW w:w="4314" w:type="dxa"/>
            <w:tcBorders>
              <w:top w:val="nil"/>
              <w:left w:val="nil"/>
              <w:bottom w:val="nil"/>
              <w:right w:val="nil"/>
            </w:tcBorders>
            <w:shd w:val="clear" w:color="000000" w:fill="FFFFFF"/>
            <w:vAlign w:val="center"/>
            <w:hideMark/>
          </w:tcPr>
          <w:p w14:paraId="020A3281" w14:textId="5A32C752" w:rsidR="006407B5" w:rsidRPr="00F5183F" w:rsidRDefault="006407B5" w:rsidP="00E44951">
            <w:pPr>
              <w:rPr>
                <w:rFonts w:asciiTheme="minorHAnsi" w:hAnsiTheme="minorHAnsi"/>
                <w:lang w:val="sr-Latn-RS"/>
              </w:rPr>
            </w:pPr>
            <w:r w:rsidRPr="00F5183F">
              <w:rPr>
                <w:rFonts w:asciiTheme="minorHAnsi" w:hAnsiTheme="minorHAnsi"/>
                <w:lang w:val="sr-Latn-RS"/>
              </w:rPr>
              <w:t xml:space="preserve">Udeo korisnika novčane socijalne pomoći u ukupnoj populaciji </w:t>
            </w:r>
          </w:p>
        </w:tc>
        <w:tc>
          <w:tcPr>
            <w:tcW w:w="2337" w:type="dxa"/>
            <w:tcBorders>
              <w:top w:val="nil"/>
              <w:left w:val="nil"/>
              <w:bottom w:val="nil"/>
              <w:right w:val="nil"/>
            </w:tcBorders>
            <w:shd w:val="clear" w:color="000000" w:fill="FFFFFF"/>
            <w:noWrap/>
            <w:vAlign w:val="center"/>
            <w:hideMark/>
          </w:tcPr>
          <w:p w14:paraId="5C403004" w14:textId="3E1B57D4" w:rsidR="006407B5" w:rsidRPr="00F5183F" w:rsidRDefault="006407B5" w:rsidP="00E44951">
            <w:pPr>
              <w:jc w:val="center"/>
              <w:rPr>
                <w:rFonts w:asciiTheme="minorHAnsi" w:hAnsiTheme="minorHAnsi"/>
                <w:color w:val="000000"/>
                <w:lang w:val="sr-Latn-RS"/>
              </w:rPr>
            </w:pPr>
            <w:r w:rsidRPr="00F5183F">
              <w:rPr>
                <w:rFonts w:asciiTheme="minorHAnsi" w:hAnsiTheme="minorHAnsi"/>
                <w:color w:val="000000"/>
                <w:lang w:val="sr-Latn-RS"/>
              </w:rPr>
              <w:t>2,6</w:t>
            </w:r>
          </w:p>
        </w:tc>
        <w:tc>
          <w:tcPr>
            <w:tcW w:w="1361" w:type="dxa"/>
            <w:tcBorders>
              <w:top w:val="nil"/>
              <w:left w:val="nil"/>
              <w:bottom w:val="nil"/>
              <w:right w:val="nil"/>
            </w:tcBorders>
            <w:shd w:val="clear" w:color="000000" w:fill="FFFFFF"/>
            <w:noWrap/>
            <w:vAlign w:val="center"/>
            <w:hideMark/>
          </w:tcPr>
          <w:p w14:paraId="257EE94A" w14:textId="73581AE6" w:rsidR="006407B5" w:rsidRPr="00F5183F" w:rsidRDefault="006407B5" w:rsidP="00E44951">
            <w:pPr>
              <w:jc w:val="center"/>
              <w:rPr>
                <w:rFonts w:asciiTheme="minorHAnsi" w:hAnsiTheme="minorHAnsi"/>
                <w:color w:val="000000"/>
                <w:lang w:val="sr-Latn-RS"/>
              </w:rPr>
            </w:pPr>
            <w:r w:rsidRPr="00F5183F">
              <w:rPr>
                <w:rFonts w:asciiTheme="minorHAnsi" w:hAnsiTheme="minorHAnsi"/>
                <w:color w:val="000000"/>
                <w:lang w:val="sr-Latn-RS"/>
              </w:rPr>
              <w:t>2,5</w:t>
            </w:r>
          </w:p>
        </w:tc>
        <w:tc>
          <w:tcPr>
            <w:tcW w:w="1264" w:type="dxa"/>
            <w:tcBorders>
              <w:top w:val="nil"/>
              <w:left w:val="nil"/>
              <w:bottom w:val="nil"/>
              <w:right w:val="nil"/>
            </w:tcBorders>
            <w:shd w:val="clear" w:color="000000" w:fill="FFFFFF"/>
            <w:vAlign w:val="center"/>
          </w:tcPr>
          <w:p w14:paraId="74860C07" w14:textId="5CD6284C" w:rsidR="006407B5" w:rsidRPr="00F5183F" w:rsidRDefault="006407B5" w:rsidP="006407B5">
            <w:pPr>
              <w:jc w:val="center"/>
              <w:rPr>
                <w:rFonts w:asciiTheme="minorHAnsi" w:hAnsiTheme="minorHAnsi"/>
                <w:color w:val="000000"/>
                <w:lang w:val="sr-Latn-RS"/>
              </w:rPr>
            </w:pPr>
            <w:r w:rsidRPr="00F5183F">
              <w:rPr>
                <w:rFonts w:asciiTheme="minorHAnsi" w:hAnsiTheme="minorHAnsi"/>
                <w:color w:val="000000"/>
                <w:lang w:val="sr-Latn-RS"/>
              </w:rPr>
              <w:t>3,1</w:t>
            </w:r>
          </w:p>
        </w:tc>
      </w:tr>
      <w:tr w:rsidR="006407B5" w:rsidRPr="00F5183F" w14:paraId="550D6E7A" w14:textId="77777777" w:rsidTr="00841A8C">
        <w:trPr>
          <w:trHeight w:val="440"/>
        </w:trPr>
        <w:tc>
          <w:tcPr>
            <w:tcW w:w="4314" w:type="dxa"/>
            <w:tcBorders>
              <w:top w:val="nil"/>
              <w:left w:val="nil"/>
              <w:right w:val="nil"/>
            </w:tcBorders>
            <w:shd w:val="clear" w:color="000000" w:fill="FFFFFF"/>
            <w:vAlign w:val="center"/>
          </w:tcPr>
          <w:p w14:paraId="6199A24F" w14:textId="55EB331F" w:rsidR="006407B5" w:rsidRPr="00F5183F" w:rsidRDefault="006407B5" w:rsidP="00E44951">
            <w:pPr>
              <w:rPr>
                <w:rFonts w:asciiTheme="minorHAnsi" w:hAnsiTheme="minorHAnsi"/>
                <w:lang w:val="sr-Latn-RS"/>
              </w:rPr>
            </w:pPr>
            <w:r w:rsidRPr="00F5183F">
              <w:rPr>
                <w:rFonts w:asciiTheme="minorHAnsi" w:hAnsiTheme="minorHAnsi"/>
                <w:lang w:val="sr-Latn-RS"/>
              </w:rPr>
              <w:t>Udeo korisnika DD u populaciji 0-19</w:t>
            </w:r>
          </w:p>
        </w:tc>
        <w:tc>
          <w:tcPr>
            <w:tcW w:w="2337" w:type="dxa"/>
            <w:tcBorders>
              <w:top w:val="nil"/>
              <w:left w:val="nil"/>
              <w:right w:val="nil"/>
            </w:tcBorders>
            <w:shd w:val="clear" w:color="000000" w:fill="FFFFFF"/>
            <w:noWrap/>
            <w:vAlign w:val="center"/>
          </w:tcPr>
          <w:p w14:paraId="5DF4A07E" w14:textId="006854DB" w:rsidR="006407B5" w:rsidRPr="00F5183F" w:rsidRDefault="00323FEA" w:rsidP="00E44951">
            <w:pPr>
              <w:jc w:val="center"/>
              <w:rPr>
                <w:rFonts w:asciiTheme="minorHAnsi" w:hAnsiTheme="minorHAnsi"/>
                <w:color w:val="000000"/>
                <w:lang w:val="sr-Latn-RS"/>
              </w:rPr>
            </w:pPr>
            <w:r w:rsidRPr="00F5183F">
              <w:rPr>
                <w:rFonts w:asciiTheme="minorHAnsi" w:hAnsiTheme="minorHAnsi"/>
                <w:color w:val="000000"/>
                <w:lang w:val="sr-Latn-RS"/>
              </w:rPr>
              <w:t>35,2</w:t>
            </w:r>
          </w:p>
        </w:tc>
        <w:tc>
          <w:tcPr>
            <w:tcW w:w="1361" w:type="dxa"/>
            <w:tcBorders>
              <w:top w:val="nil"/>
              <w:left w:val="nil"/>
              <w:right w:val="nil"/>
            </w:tcBorders>
            <w:shd w:val="clear" w:color="000000" w:fill="FFFFFF"/>
            <w:noWrap/>
            <w:vAlign w:val="center"/>
          </w:tcPr>
          <w:p w14:paraId="0CBDDBEA" w14:textId="0C838344" w:rsidR="006407B5" w:rsidRPr="00F5183F" w:rsidRDefault="00323FEA" w:rsidP="00E44951">
            <w:pPr>
              <w:jc w:val="center"/>
              <w:rPr>
                <w:rFonts w:asciiTheme="minorHAnsi" w:hAnsiTheme="minorHAnsi"/>
                <w:color w:val="000000"/>
                <w:lang w:val="sr-Latn-RS"/>
              </w:rPr>
            </w:pPr>
            <w:r w:rsidRPr="00F5183F">
              <w:rPr>
                <w:rFonts w:asciiTheme="minorHAnsi" w:hAnsiTheme="minorHAnsi"/>
                <w:color w:val="000000"/>
                <w:lang w:val="sr-Latn-RS"/>
              </w:rPr>
              <w:t>17,8</w:t>
            </w:r>
          </w:p>
        </w:tc>
        <w:tc>
          <w:tcPr>
            <w:tcW w:w="1264" w:type="dxa"/>
            <w:tcBorders>
              <w:top w:val="nil"/>
              <w:left w:val="nil"/>
              <w:right w:val="nil"/>
            </w:tcBorders>
            <w:shd w:val="clear" w:color="000000" w:fill="FFFFFF"/>
            <w:vAlign w:val="center"/>
          </w:tcPr>
          <w:p w14:paraId="26458BB5" w14:textId="65AB09CD" w:rsidR="006407B5" w:rsidRPr="00F5183F" w:rsidRDefault="00323FEA" w:rsidP="006407B5">
            <w:pPr>
              <w:jc w:val="center"/>
              <w:rPr>
                <w:rFonts w:asciiTheme="minorHAnsi" w:hAnsiTheme="minorHAnsi"/>
                <w:color w:val="000000"/>
                <w:lang w:val="sr-Latn-RS"/>
              </w:rPr>
            </w:pPr>
            <w:r w:rsidRPr="00F5183F">
              <w:rPr>
                <w:rFonts w:asciiTheme="minorHAnsi" w:hAnsiTheme="minorHAnsi"/>
                <w:color w:val="000000"/>
                <w:lang w:val="sr-Latn-RS"/>
              </w:rPr>
              <w:t>21,6</w:t>
            </w:r>
          </w:p>
        </w:tc>
      </w:tr>
      <w:tr w:rsidR="00EA2593" w:rsidRPr="00F5183F" w14:paraId="7781C960" w14:textId="77777777" w:rsidTr="006407B5">
        <w:trPr>
          <w:trHeight w:val="440"/>
        </w:trPr>
        <w:tc>
          <w:tcPr>
            <w:tcW w:w="4314" w:type="dxa"/>
            <w:tcBorders>
              <w:top w:val="nil"/>
              <w:left w:val="nil"/>
              <w:bottom w:val="nil"/>
              <w:right w:val="nil"/>
            </w:tcBorders>
            <w:shd w:val="clear" w:color="000000" w:fill="FFFFFF"/>
            <w:vAlign w:val="center"/>
          </w:tcPr>
          <w:p w14:paraId="7E05F7A0" w14:textId="73F6F696" w:rsidR="00EA2593" w:rsidRPr="00F5183F" w:rsidRDefault="00EA2593" w:rsidP="00EA2593">
            <w:pPr>
              <w:rPr>
                <w:rFonts w:asciiTheme="minorHAnsi" w:hAnsiTheme="minorHAnsi"/>
                <w:lang w:val="sr-Latn-RS"/>
              </w:rPr>
            </w:pPr>
            <w:r w:rsidRPr="00F5183F">
              <w:rPr>
                <w:rFonts w:asciiTheme="minorHAnsi" w:hAnsiTheme="minorHAnsi"/>
                <w:i/>
                <w:iCs/>
                <w:lang w:val="sr-Latn-RS"/>
              </w:rPr>
              <w:t xml:space="preserve">Udeo korisnika DD (osnovni iznos) </w:t>
            </w:r>
          </w:p>
        </w:tc>
        <w:tc>
          <w:tcPr>
            <w:tcW w:w="2337" w:type="dxa"/>
            <w:tcBorders>
              <w:top w:val="nil"/>
              <w:left w:val="nil"/>
              <w:bottom w:val="nil"/>
              <w:right w:val="nil"/>
            </w:tcBorders>
            <w:shd w:val="clear" w:color="000000" w:fill="FFFFFF"/>
            <w:noWrap/>
            <w:vAlign w:val="center"/>
          </w:tcPr>
          <w:p w14:paraId="45F9A944" w14:textId="645ED9E4" w:rsidR="00EA2593" w:rsidRPr="00F5183F" w:rsidRDefault="00EA2593" w:rsidP="00EA2593">
            <w:pPr>
              <w:jc w:val="center"/>
              <w:rPr>
                <w:rFonts w:asciiTheme="minorHAnsi" w:hAnsiTheme="minorHAnsi"/>
                <w:color w:val="000000"/>
                <w:lang w:val="sr-Latn-RS"/>
              </w:rPr>
            </w:pPr>
            <w:r w:rsidRPr="00F5183F">
              <w:rPr>
                <w:rFonts w:asciiTheme="minorHAnsi" w:hAnsiTheme="minorHAnsi"/>
                <w:i/>
                <w:iCs/>
                <w:color w:val="000000"/>
                <w:lang w:val="sr-Latn-RS"/>
              </w:rPr>
              <w:t>28,9</w:t>
            </w:r>
          </w:p>
        </w:tc>
        <w:tc>
          <w:tcPr>
            <w:tcW w:w="1361" w:type="dxa"/>
            <w:tcBorders>
              <w:top w:val="nil"/>
              <w:left w:val="nil"/>
              <w:bottom w:val="nil"/>
              <w:right w:val="nil"/>
            </w:tcBorders>
            <w:shd w:val="clear" w:color="000000" w:fill="FFFFFF"/>
            <w:noWrap/>
            <w:vAlign w:val="center"/>
          </w:tcPr>
          <w:p w14:paraId="15DF5E29" w14:textId="25D9F458" w:rsidR="00EA2593" w:rsidRPr="00F5183F" w:rsidRDefault="00EA2593" w:rsidP="00EA2593">
            <w:pPr>
              <w:jc w:val="center"/>
              <w:rPr>
                <w:rFonts w:asciiTheme="minorHAnsi" w:hAnsiTheme="minorHAnsi"/>
                <w:color w:val="000000"/>
                <w:lang w:val="sr-Latn-RS"/>
              </w:rPr>
            </w:pPr>
            <w:r w:rsidRPr="00F5183F">
              <w:rPr>
                <w:rFonts w:asciiTheme="minorHAnsi" w:hAnsiTheme="minorHAnsi"/>
                <w:i/>
                <w:iCs/>
                <w:color w:val="000000"/>
                <w:lang w:val="sr-Latn-RS"/>
              </w:rPr>
              <w:t>12,5</w:t>
            </w:r>
          </w:p>
        </w:tc>
        <w:tc>
          <w:tcPr>
            <w:tcW w:w="1264" w:type="dxa"/>
            <w:tcBorders>
              <w:top w:val="nil"/>
              <w:left w:val="nil"/>
              <w:bottom w:val="nil"/>
              <w:right w:val="nil"/>
            </w:tcBorders>
            <w:shd w:val="clear" w:color="000000" w:fill="FFFFFF"/>
            <w:vAlign w:val="center"/>
          </w:tcPr>
          <w:p w14:paraId="352C172C" w14:textId="05AEB8FD" w:rsidR="00EA2593" w:rsidRPr="00F5183F" w:rsidRDefault="00EA2593" w:rsidP="00EA2593">
            <w:pPr>
              <w:jc w:val="center"/>
              <w:rPr>
                <w:rFonts w:asciiTheme="minorHAnsi" w:hAnsiTheme="minorHAnsi"/>
                <w:i/>
                <w:iCs/>
                <w:color w:val="000000"/>
                <w:lang w:val="sr-Latn-RS"/>
              </w:rPr>
            </w:pPr>
            <w:r w:rsidRPr="00F5183F">
              <w:rPr>
                <w:rFonts w:asciiTheme="minorHAnsi" w:hAnsiTheme="minorHAnsi"/>
                <w:i/>
                <w:iCs/>
                <w:color w:val="000000"/>
                <w:lang w:val="sr-Latn-RS"/>
              </w:rPr>
              <w:t>16,8</w:t>
            </w:r>
          </w:p>
        </w:tc>
      </w:tr>
      <w:tr w:rsidR="00EA2593" w:rsidRPr="00F5183F" w14:paraId="02DB88B8" w14:textId="77777777" w:rsidTr="00841A8C">
        <w:trPr>
          <w:trHeight w:val="440"/>
        </w:trPr>
        <w:tc>
          <w:tcPr>
            <w:tcW w:w="4314" w:type="dxa"/>
            <w:tcBorders>
              <w:top w:val="nil"/>
              <w:left w:val="nil"/>
              <w:bottom w:val="single" w:sz="4" w:space="0" w:color="auto"/>
              <w:right w:val="nil"/>
            </w:tcBorders>
            <w:shd w:val="clear" w:color="000000" w:fill="FFFFFF"/>
            <w:vAlign w:val="center"/>
          </w:tcPr>
          <w:p w14:paraId="6F531701" w14:textId="7F848068" w:rsidR="00EA2593" w:rsidRPr="00F5183F" w:rsidRDefault="00EA2593" w:rsidP="00EA2593">
            <w:pPr>
              <w:rPr>
                <w:rFonts w:asciiTheme="minorHAnsi" w:hAnsiTheme="minorHAnsi"/>
                <w:i/>
                <w:iCs/>
                <w:lang w:val="sr-Latn-RS"/>
              </w:rPr>
            </w:pPr>
            <w:r w:rsidRPr="00F5183F">
              <w:rPr>
                <w:rFonts w:asciiTheme="minorHAnsi" w:hAnsiTheme="minorHAnsi"/>
                <w:i/>
                <w:iCs/>
                <w:lang w:val="sr-Latn-RS"/>
              </w:rPr>
              <w:t xml:space="preserve">Udeo korisnika DD (uvećani iznos) </w:t>
            </w:r>
          </w:p>
        </w:tc>
        <w:tc>
          <w:tcPr>
            <w:tcW w:w="2337" w:type="dxa"/>
            <w:tcBorders>
              <w:top w:val="nil"/>
              <w:left w:val="nil"/>
              <w:bottom w:val="single" w:sz="4" w:space="0" w:color="auto"/>
              <w:right w:val="nil"/>
            </w:tcBorders>
            <w:shd w:val="clear" w:color="000000" w:fill="FFFFFF"/>
            <w:noWrap/>
            <w:vAlign w:val="center"/>
          </w:tcPr>
          <w:p w14:paraId="61A67114" w14:textId="193F12FD" w:rsidR="00EA2593" w:rsidRPr="00F5183F" w:rsidRDefault="00EA2593" w:rsidP="00EA2593">
            <w:pPr>
              <w:jc w:val="center"/>
              <w:rPr>
                <w:rFonts w:asciiTheme="minorHAnsi" w:hAnsiTheme="minorHAnsi"/>
                <w:i/>
                <w:iCs/>
                <w:color w:val="000000"/>
                <w:lang w:val="sr-Latn-RS"/>
              </w:rPr>
            </w:pPr>
            <w:r w:rsidRPr="00F5183F">
              <w:rPr>
                <w:rFonts w:asciiTheme="minorHAnsi" w:hAnsiTheme="minorHAnsi"/>
                <w:i/>
                <w:iCs/>
                <w:color w:val="000000"/>
                <w:lang w:val="sr-Latn-RS"/>
              </w:rPr>
              <w:t xml:space="preserve">   6,3</w:t>
            </w:r>
          </w:p>
        </w:tc>
        <w:tc>
          <w:tcPr>
            <w:tcW w:w="1361" w:type="dxa"/>
            <w:tcBorders>
              <w:top w:val="nil"/>
              <w:left w:val="nil"/>
              <w:bottom w:val="single" w:sz="4" w:space="0" w:color="auto"/>
              <w:right w:val="nil"/>
            </w:tcBorders>
            <w:shd w:val="clear" w:color="000000" w:fill="FFFFFF"/>
            <w:noWrap/>
            <w:vAlign w:val="center"/>
          </w:tcPr>
          <w:p w14:paraId="494D05E0" w14:textId="23C83B78" w:rsidR="00EA2593" w:rsidRPr="00F5183F" w:rsidRDefault="00EA2593" w:rsidP="00EA2593">
            <w:pPr>
              <w:jc w:val="center"/>
              <w:rPr>
                <w:rFonts w:asciiTheme="minorHAnsi" w:hAnsiTheme="minorHAnsi"/>
                <w:i/>
                <w:iCs/>
                <w:color w:val="000000"/>
                <w:lang w:val="sr-Latn-RS"/>
              </w:rPr>
            </w:pPr>
            <w:r w:rsidRPr="00F5183F">
              <w:rPr>
                <w:rFonts w:asciiTheme="minorHAnsi" w:hAnsiTheme="minorHAnsi"/>
                <w:i/>
                <w:iCs/>
                <w:color w:val="000000"/>
                <w:lang w:val="sr-Latn-RS"/>
              </w:rPr>
              <w:t xml:space="preserve">5,3  </w:t>
            </w:r>
          </w:p>
        </w:tc>
        <w:tc>
          <w:tcPr>
            <w:tcW w:w="1264" w:type="dxa"/>
            <w:tcBorders>
              <w:top w:val="nil"/>
              <w:left w:val="nil"/>
              <w:bottom w:val="single" w:sz="4" w:space="0" w:color="auto"/>
              <w:right w:val="nil"/>
            </w:tcBorders>
            <w:shd w:val="clear" w:color="000000" w:fill="FFFFFF"/>
            <w:vAlign w:val="center"/>
          </w:tcPr>
          <w:p w14:paraId="2AE734A6" w14:textId="76584EDF" w:rsidR="00EA2593" w:rsidRPr="00F5183F" w:rsidRDefault="00EA2593" w:rsidP="00EA2593">
            <w:pPr>
              <w:jc w:val="center"/>
              <w:rPr>
                <w:rFonts w:asciiTheme="minorHAnsi" w:hAnsiTheme="minorHAnsi"/>
                <w:i/>
                <w:iCs/>
                <w:color w:val="000000"/>
                <w:lang w:val="sr-Latn-RS"/>
              </w:rPr>
            </w:pPr>
            <w:r w:rsidRPr="00F5183F">
              <w:rPr>
                <w:rFonts w:asciiTheme="minorHAnsi" w:hAnsiTheme="minorHAnsi"/>
                <w:i/>
                <w:iCs/>
                <w:color w:val="000000"/>
                <w:lang w:val="sr-Latn-RS"/>
              </w:rPr>
              <w:t>4,8</w:t>
            </w:r>
          </w:p>
        </w:tc>
      </w:tr>
    </w:tbl>
    <w:p w14:paraId="7CAD7C31" w14:textId="6B7918FB" w:rsidR="00E44951" w:rsidRPr="00F5183F" w:rsidRDefault="006427DE">
      <w:pPr>
        <w:rPr>
          <w:rFonts w:asciiTheme="minorHAnsi" w:hAnsiTheme="minorHAnsi"/>
          <w:sz w:val="20"/>
          <w:szCs w:val="20"/>
          <w:lang w:val="sr-Latn-RS"/>
        </w:rPr>
      </w:pPr>
      <w:r w:rsidRPr="00F5183F">
        <w:rPr>
          <w:rFonts w:asciiTheme="minorHAnsi" w:hAnsiTheme="minorHAnsi"/>
          <w:sz w:val="20"/>
          <w:szCs w:val="20"/>
          <w:lang w:val="sr-Latn-RS"/>
        </w:rPr>
        <w:t xml:space="preserve">Izvor: </w:t>
      </w:r>
      <w:r w:rsidR="006168DD" w:rsidRPr="00F5183F">
        <w:rPr>
          <w:rFonts w:asciiTheme="minorHAnsi" w:hAnsiTheme="minorHAnsi"/>
          <w:sz w:val="20"/>
          <w:szCs w:val="20"/>
          <w:lang w:val="sr-Latn-RS"/>
        </w:rPr>
        <w:t>DevInfo</w:t>
      </w:r>
      <w:r w:rsidR="003B7362" w:rsidRPr="00F5183F">
        <w:rPr>
          <w:rFonts w:asciiTheme="minorHAnsi" w:hAnsiTheme="minorHAnsi"/>
          <w:sz w:val="20"/>
          <w:szCs w:val="20"/>
          <w:lang w:val="sr-Latn-RS"/>
        </w:rPr>
        <w:t xml:space="preserve"> baza</w:t>
      </w:r>
      <w:r w:rsidR="00EA2593" w:rsidRPr="00F5183F">
        <w:rPr>
          <w:rFonts w:asciiTheme="minorHAnsi" w:hAnsiTheme="minorHAnsi"/>
          <w:sz w:val="20"/>
          <w:szCs w:val="20"/>
          <w:lang w:val="sr-Latn-RS"/>
        </w:rPr>
        <w:t>, RZS, kalkulacije autora</w:t>
      </w:r>
    </w:p>
    <w:p w14:paraId="1A6C04EC" w14:textId="22E5B7F9" w:rsidR="005D41C6" w:rsidRPr="00F5183F" w:rsidRDefault="005F18C6">
      <w:pPr>
        <w:rPr>
          <w:rFonts w:asciiTheme="minorHAnsi" w:hAnsiTheme="minorHAnsi"/>
          <w:sz w:val="20"/>
          <w:szCs w:val="20"/>
          <w:lang w:val="sr-Latn-RS"/>
        </w:rPr>
      </w:pPr>
      <w:r w:rsidRPr="00F5183F">
        <w:rPr>
          <w:rFonts w:asciiTheme="minorHAnsi" w:hAnsiTheme="minorHAnsi"/>
          <w:sz w:val="20"/>
          <w:szCs w:val="20"/>
          <w:lang w:val="sr-Latn-RS"/>
        </w:rPr>
        <w:t>Napomena: Stanje 31.12.</w:t>
      </w:r>
    </w:p>
    <w:p w14:paraId="226E93D3" w14:textId="77777777" w:rsidR="00B51485" w:rsidRPr="00F5183F" w:rsidRDefault="00B51485">
      <w:pPr>
        <w:rPr>
          <w:rFonts w:asciiTheme="minorHAnsi" w:hAnsiTheme="minorHAnsi"/>
          <w:lang w:val="sr-Latn-RS"/>
        </w:rPr>
      </w:pPr>
    </w:p>
    <w:p w14:paraId="6BFAF595" w14:textId="5FB045D0" w:rsidR="00D82100" w:rsidRPr="00F5183F" w:rsidRDefault="00D82100">
      <w:pPr>
        <w:rPr>
          <w:rFonts w:asciiTheme="minorHAnsi" w:hAnsiTheme="minorHAnsi"/>
          <w:lang w:val="sr-Latn-RS"/>
        </w:rPr>
      </w:pPr>
      <w:r w:rsidRPr="00F5183F">
        <w:rPr>
          <w:rFonts w:asciiTheme="minorHAnsi" w:hAnsiTheme="minorHAnsi"/>
          <w:lang w:val="sr-Latn-RS"/>
        </w:rPr>
        <w:t xml:space="preserve">Grafikon </w:t>
      </w:r>
      <w:r w:rsidR="00B51485" w:rsidRPr="00F5183F">
        <w:rPr>
          <w:rFonts w:asciiTheme="minorHAnsi" w:hAnsiTheme="minorHAnsi"/>
          <w:lang w:val="sr-Latn-RS"/>
        </w:rPr>
        <w:t>2</w:t>
      </w:r>
      <w:r w:rsidRPr="00F5183F">
        <w:rPr>
          <w:rFonts w:asciiTheme="minorHAnsi" w:hAnsiTheme="minorHAnsi"/>
          <w:lang w:val="sr-Latn-RS"/>
        </w:rPr>
        <w:t xml:space="preserve">: </w:t>
      </w:r>
      <w:r w:rsidR="00B51485" w:rsidRPr="00F5183F">
        <w:rPr>
          <w:rFonts w:asciiTheme="minorHAnsi" w:hAnsiTheme="minorHAnsi"/>
          <w:lang w:val="sr-Latn-RS"/>
        </w:rPr>
        <w:t xml:space="preserve"> </w:t>
      </w:r>
      <w:r w:rsidR="002E326E" w:rsidRPr="00F5183F">
        <w:rPr>
          <w:rFonts w:asciiTheme="minorHAnsi" w:hAnsiTheme="minorHAnsi"/>
          <w:lang w:val="sr-Latn-RS"/>
        </w:rPr>
        <w:t>B</w:t>
      </w:r>
      <w:r w:rsidR="00A70EFE" w:rsidRPr="00F5183F">
        <w:rPr>
          <w:rFonts w:asciiTheme="minorHAnsi" w:hAnsiTheme="minorHAnsi"/>
          <w:lang w:val="sr-Latn-RS"/>
        </w:rPr>
        <w:t xml:space="preserve">roj </w:t>
      </w:r>
      <w:r w:rsidRPr="00F5183F">
        <w:rPr>
          <w:rFonts w:asciiTheme="minorHAnsi" w:hAnsiTheme="minorHAnsi"/>
          <w:lang w:val="sr-Latn-RS"/>
        </w:rPr>
        <w:t xml:space="preserve">korisnika </w:t>
      </w:r>
      <w:r w:rsidR="00B51485" w:rsidRPr="00F5183F">
        <w:rPr>
          <w:rFonts w:asciiTheme="minorHAnsi" w:hAnsiTheme="minorHAnsi"/>
          <w:lang w:val="sr-Latn-RS"/>
        </w:rPr>
        <w:t>DD</w:t>
      </w:r>
      <w:r w:rsidR="00527FCF" w:rsidRPr="00F5183F">
        <w:rPr>
          <w:rFonts w:asciiTheme="minorHAnsi" w:hAnsiTheme="minorHAnsi"/>
          <w:lang w:val="sr-Latn-RS"/>
        </w:rPr>
        <w:t xml:space="preserve">, </w:t>
      </w:r>
      <w:r w:rsidRPr="00F5183F">
        <w:rPr>
          <w:rFonts w:asciiTheme="minorHAnsi" w:hAnsiTheme="minorHAnsi"/>
          <w:lang w:val="sr-Latn-RS"/>
        </w:rPr>
        <w:t>opština Bač</w:t>
      </w:r>
      <w:r w:rsidR="002E326E" w:rsidRPr="00F5183F">
        <w:rPr>
          <w:rFonts w:asciiTheme="minorHAnsi" w:hAnsiTheme="minorHAnsi"/>
          <w:lang w:val="sr-Latn-RS"/>
        </w:rPr>
        <w:t xml:space="preserve">, </w:t>
      </w:r>
      <w:r w:rsidR="00C11EB5" w:rsidRPr="00F5183F">
        <w:rPr>
          <w:rFonts w:asciiTheme="minorHAnsi" w:hAnsiTheme="minorHAnsi"/>
          <w:lang w:val="sr-Latn-RS"/>
        </w:rPr>
        <w:t>2010-</w:t>
      </w:r>
      <w:r w:rsidRPr="00F5183F">
        <w:rPr>
          <w:rFonts w:asciiTheme="minorHAnsi" w:hAnsiTheme="minorHAnsi"/>
          <w:lang w:val="sr-Latn-RS"/>
        </w:rPr>
        <w:t>2019.</w:t>
      </w:r>
    </w:p>
    <w:p w14:paraId="3000A312" w14:textId="237CBF7C" w:rsidR="002E326E" w:rsidRPr="00F5183F" w:rsidRDefault="002E326E">
      <w:pPr>
        <w:rPr>
          <w:rFonts w:asciiTheme="minorHAnsi" w:hAnsiTheme="minorHAnsi"/>
          <w:lang w:val="sr-Latn-RS"/>
        </w:rPr>
      </w:pPr>
    </w:p>
    <w:p w14:paraId="03CAB8A4" w14:textId="3D35CEF1" w:rsidR="002E326E" w:rsidRPr="00F5183F" w:rsidRDefault="002E326E">
      <w:pPr>
        <w:rPr>
          <w:rFonts w:asciiTheme="minorHAnsi" w:hAnsiTheme="minorHAnsi"/>
          <w:lang w:val="sr-Latn-RS"/>
        </w:rPr>
      </w:pPr>
      <w:r w:rsidRPr="00F5183F">
        <w:rPr>
          <w:noProof/>
          <w:lang w:val="sr-Latn-RS"/>
        </w:rPr>
        <w:drawing>
          <wp:inline distT="0" distB="0" distL="0" distR="0" wp14:anchorId="5450CA51" wp14:editId="19743491">
            <wp:extent cx="4436533" cy="2455333"/>
            <wp:effectExtent l="0" t="0" r="8890" b="8890"/>
            <wp:docPr id="1" name="Chart 1">
              <a:extLst xmlns:a="http://schemas.openxmlformats.org/drawingml/2006/main">
                <a:ext uri="{FF2B5EF4-FFF2-40B4-BE49-F238E27FC236}">
                  <a16:creationId xmlns:a16="http://schemas.microsoft.com/office/drawing/2014/main" id="{3D207F95-BC03-5A41-BDFB-9678B07B23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D5DF71" w14:textId="17C8A9CD" w:rsidR="001E235B" w:rsidRPr="00F5183F" w:rsidRDefault="00D82100">
      <w:pPr>
        <w:rPr>
          <w:rFonts w:asciiTheme="minorHAnsi" w:hAnsiTheme="minorHAnsi"/>
          <w:color w:val="000000" w:themeColor="text1"/>
          <w:lang w:val="sr-Latn-RS"/>
        </w:rPr>
      </w:pPr>
      <w:r w:rsidRPr="00F5183F">
        <w:rPr>
          <w:rFonts w:asciiTheme="minorHAnsi" w:hAnsiTheme="minorHAnsi" w:cstheme="minorHAnsi"/>
          <w:color w:val="000000" w:themeColor="text1"/>
          <w:sz w:val="20"/>
          <w:szCs w:val="20"/>
          <w:lang w:val="sr-Latn-RS"/>
        </w:rPr>
        <w:t>Izvo</w:t>
      </w:r>
      <w:r w:rsidR="00B51485" w:rsidRPr="00F5183F">
        <w:rPr>
          <w:rFonts w:asciiTheme="minorHAnsi" w:hAnsiTheme="minorHAnsi" w:cstheme="minorHAnsi"/>
          <w:color w:val="000000" w:themeColor="text1"/>
          <w:sz w:val="20"/>
          <w:szCs w:val="20"/>
          <w:lang w:val="sr-Latn-RS"/>
        </w:rPr>
        <w:t>r</w:t>
      </w:r>
      <w:r w:rsidRPr="00F5183F">
        <w:rPr>
          <w:rFonts w:asciiTheme="minorHAnsi" w:hAnsiTheme="minorHAnsi" w:cstheme="minorHAnsi"/>
          <w:color w:val="000000" w:themeColor="text1"/>
          <w:sz w:val="20"/>
          <w:szCs w:val="20"/>
          <w:lang w:val="sr-Latn-RS"/>
        </w:rPr>
        <w:t xml:space="preserve">: </w:t>
      </w:r>
      <w:r w:rsidR="006168DD" w:rsidRPr="00F5183F">
        <w:rPr>
          <w:rFonts w:asciiTheme="minorHAnsi" w:hAnsiTheme="minorHAnsi" w:cstheme="minorHAnsi"/>
          <w:color w:val="000000" w:themeColor="text1"/>
          <w:sz w:val="20"/>
          <w:szCs w:val="20"/>
          <w:lang w:val="sr-Latn-RS"/>
        </w:rPr>
        <w:t>DevInfo</w:t>
      </w:r>
    </w:p>
    <w:p w14:paraId="52F7B208" w14:textId="1A662BAD" w:rsidR="00355EB0" w:rsidRPr="00F5183F" w:rsidRDefault="00355EB0" w:rsidP="00355EB0">
      <w:pPr>
        <w:pBdr>
          <w:top w:val="single" w:sz="4" w:space="0" w:color="auto" w:shadow="1"/>
          <w:left w:val="single" w:sz="4" w:space="0" w:color="auto" w:shadow="1"/>
          <w:bottom w:val="single" w:sz="4" w:space="1" w:color="auto" w:shadow="1"/>
          <w:right w:val="single" w:sz="4" w:space="4" w:color="auto" w:shadow="1"/>
        </w:pBdr>
        <w:rPr>
          <w:rFonts w:asciiTheme="minorHAnsi" w:hAnsiTheme="minorHAnsi"/>
          <w:b/>
          <w:smallCaps/>
          <w:lang w:val="sr-Latn-RS"/>
        </w:rPr>
      </w:pPr>
      <w:r w:rsidRPr="00F5183F">
        <w:rPr>
          <w:rFonts w:asciiTheme="minorHAnsi" w:hAnsiTheme="minorHAnsi"/>
          <w:b/>
          <w:smallCaps/>
          <w:lang w:val="sr-Latn-RS"/>
        </w:rPr>
        <w:lastRenderedPageBreak/>
        <w:t xml:space="preserve">Boks 1. </w:t>
      </w:r>
      <w:r w:rsidR="00785160" w:rsidRPr="00F5183F">
        <w:rPr>
          <w:rFonts w:asciiTheme="minorHAnsi" w:hAnsiTheme="minorHAnsi"/>
          <w:b/>
          <w:smallCaps/>
          <w:lang w:val="sr-Latn-RS"/>
        </w:rPr>
        <w:t xml:space="preserve">NEDOSTACI ANALIZE OBUHVATA  PROGRAMOM NSP I DD NA LOKALNOM NIVOU </w:t>
      </w:r>
    </w:p>
    <w:p w14:paraId="0375CEE0" w14:textId="77777777" w:rsidR="00355EB0" w:rsidRPr="00F5183F" w:rsidRDefault="00355EB0" w:rsidP="00355EB0">
      <w:pPr>
        <w:pBdr>
          <w:top w:val="single" w:sz="4" w:space="0" w:color="auto" w:shadow="1"/>
          <w:left w:val="single" w:sz="4" w:space="0" w:color="auto" w:shadow="1"/>
          <w:bottom w:val="single" w:sz="4" w:space="1" w:color="auto" w:shadow="1"/>
          <w:right w:val="single" w:sz="4" w:space="4" w:color="auto" w:shadow="1"/>
        </w:pBdr>
        <w:jc w:val="both"/>
        <w:rPr>
          <w:rFonts w:asciiTheme="minorHAnsi" w:hAnsiTheme="minorHAnsi"/>
          <w:lang w:val="sr-Latn-RS"/>
        </w:rPr>
      </w:pPr>
    </w:p>
    <w:p w14:paraId="598E256A" w14:textId="02839756" w:rsidR="00355EB0" w:rsidRPr="00F5183F" w:rsidRDefault="00355EB0" w:rsidP="00355EB0">
      <w:pPr>
        <w:pBdr>
          <w:top w:val="single" w:sz="4" w:space="0" w:color="auto" w:shadow="1"/>
          <w:left w:val="single" w:sz="4" w:space="0" w:color="auto" w:shadow="1"/>
          <w:bottom w:val="single" w:sz="4" w:space="1" w:color="auto" w:shadow="1"/>
          <w:right w:val="single" w:sz="4" w:space="4" w:color="auto" w:shadow="1"/>
        </w:pBdr>
        <w:jc w:val="both"/>
        <w:rPr>
          <w:rFonts w:asciiTheme="minorHAnsi" w:hAnsiTheme="minorHAnsi"/>
          <w:lang w:val="sr-Latn-RS"/>
        </w:rPr>
      </w:pPr>
      <w:r w:rsidRPr="00F5183F">
        <w:rPr>
          <w:rFonts w:asciiTheme="minorHAnsi" w:hAnsiTheme="minorHAnsi"/>
          <w:lang w:val="sr-Latn-RS"/>
        </w:rPr>
        <w:t xml:space="preserve">Udeo korisnika </w:t>
      </w:r>
      <w:r w:rsidR="00AA63FE" w:rsidRPr="00F5183F">
        <w:rPr>
          <w:rFonts w:asciiTheme="minorHAnsi" w:hAnsiTheme="minorHAnsi"/>
          <w:lang w:val="sr-Latn-RS"/>
        </w:rPr>
        <w:t xml:space="preserve">pojedinih </w:t>
      </w:r>
      <w:r w:rsidRPr="00F5183F">
        <w:rPr>
          <w:rFonts w:asciiTheme="minorHAnsi" w:hAnsiTheme="minorHAnsi"/>
          <w:lang w:val="sr-Latn-RS"/>
        </w:rPr>
        <w:t>programa socijalne pomoći koji su usmereni na siromašne u ukupnoj populaciji (ili odgovarajućoj starosnoj grupi) često se identifikuje kao pokazatelj socijalne zaštite ili se koristi za kreiranje različitih indeksa na lokalnom nivou.</w:t>
      </w:r>
      <w:r w:rsidRPr="00F5183F">
        <w:rPr>
          <w:rStyle w:val="FootnoteReference"/>
          <w:rFonts w:asciiTheme="minorHAnsi" w:hAnsiTheme="minorHAnsi"/>
          <w:lang w:val="sr-Latn-RS"/>
        </w:rPr>
        <w:footnoteReference w:id="10"/>
      </w:r>
      <w:r w:rsidRPr="00F5183F">
        <w:rPr>
          <w:rFonts w:asciiTheme="minorHAnsi" w:hAnsiTheme="minorHAnsi"/>
          <w:lang w:val="sr-Latn-RS"/>
        </w:rPr>
        <w:t xml:space="preserve"> Adekvatniji pokazatelj bi bio obuhvat siromašnih - udeo korisnika ovih programa u ukupnom broju siromašnih. Podaci o rasprostranjenosti siromaštva koji se za nacionalni nivo ocenjuju uz pomoć anketa, nisu, međutim, raspoloživi za lokalni nivo. </w:t>
      </w:r>
    </w:p>
    <w:p w14:paraId="3D3E3CA2" w14:textId="77777777" w:rsidR="00355EB0" w:rsidRPr="00F5183F" w:rsidRDefault="00355EB0" w:rsidP="00355EB0">
      <w:pPr>
        <w:pBdr>
          <w:top w:val="single" w:sz="4" w:space="0" w:color="auto" w:shadow="1"/>
          <w:left w:val="single" w:sz="4" w:space="0" w:color="auto" w:shadow="1"/>
          <w:bottom w:val="single" w:sz="4" w:space="1" w:color="auto" w:shadow="1"/>
          <w:right w:val="single" w:sz="4" w:space="4" w:color="auto" w:shadow="1"/>
        </w:pBdr>
        <w:jc w:val="both"/>
        <w:rPr>
          <w:rFonts w:asciiTheme="minorHAnsi" w:hAnsiTheme="minorHAnsi"/>
          <w:sz w:val="10"/>
          <w:szCs w:val="10"/>
          <w:lang w:val="sr-Latn-RS"/>
        </w:rPr>
      </w:pPr>
    </w:p>
    <w:p w14:paraId="17A8E6A0" w14:textId="77777777" w:rsidR="00355EB0" w:rsidRPr="00F5183F" w:rsidRDefault="00355EB0" w:rsidP="00355EB0">
      <w:pPr>
        <w:rPr>
          <w:rFonts w:asciiTheme="minorHAnsi" w:hAnsiTheme="minorHAnsi"/>
          <w:i/>
          <w:u w:val="single"/>
          <w:lang w:val="sr-Latn-RS"/>
        </w:rPr>
      </w:pPr>
    </w:p>
    <w:p w14:paraId="4F761895" w14:textId="33A2CB6C" w:rsidR="0088281E" w:rsidRPr="00F5183F" w:rsidRDefault="0084651C" w:rsidP="0088281E">
      <w:pPr>
        <w:jc w:val="both"/>
        <w:rPr>
          <w:rFonts w:asciiTheme="minorHAnsi" w:hAnsiTheme="minorHAnsi"/>
          <w:bCs/>
          <w:iCs/>
          <w:sz w:val="22"/>
          <w:szCs w:val="22"/>
          <w:lang w:val="sr-Latn-RS"/>
        </w:rPr>
      </w:pPr>
      <w:r w:rsidRPr="00F5183F">
        <w:rPr>
          <w:rFonts w:asciiTheme="minorHAnsi" w:hAnsiTheme="minorHAnsi"/>
          <w:b/>
          <w:i/>
          <w:lang w:val="sr-Latn-RS"/>
        </w:rPr>
        <w:t xml:space="preserve">Kapacitet za administriranje socijalne zaštite je </w:t>
      </w:r>
      <w:r w:rsidR="00812EA1" w:rsidRPr="00F5183F">
        <w:rPr>
          <w:rFonts w:asciiTheme="minorHAnsi" w:hAnsiTheme="minorHAnsi"/>
          <w:b/>
          <w:i/>
          <w:lang w:val="sr-Latn-RS"/>
        </w:rPr>
        <w:t xml:space="preserve">u opštini Bač </w:t>
      </w:r>
      <w:r w:rsidRPr="00F5183F">
        <w:rPr>
          <w:rFonts w:asciiTheme="minorHAnsi" w:hAnsiTheme="minorHAnsi"/>
          <w:b/>
          <w:i/>
          <w:lang w:val="sr-Latn-RS"/>
        </w:rPr>
        <w:t xml:space="preserve">formalno posmatrano veći, ali je i opterećenost centra za socijalni rad </w:t>
      </w:r>
      <w:r w:rsidR="00C27B8C" w:rsidRPr="00F5183F">
        <w:rPr>
          <w:rFonts w:asciiTheme="minorHAnsi" w:hAnsiTheme="minorHAnsi"/>
          <w:b/>
          <w:i/>
          <w:lang w:val="sr-Latn-RS"/>
        </w:rPr>
        <w:t xml:space="preserve">znatno </w:t>
      </w:r>
      <w:r w:rsidRPr="00F5183F">
        <w:rPr>
          <w:rFonts w:asciiTheme="minorHAnsi" w:hAnsiTheme="minorHAnsi"/>
          <w:b/>
          <w:i/>
          <w:lang w:val="sr-Latn-RS"/>
        </w:rPr>
        <w:t>veća nego u drugim sredinama u Srbiji.</w:t>
      </w:r>
      <w:r w:rsidR="00C27B8C" w:rsidRPr="00F5183F">
        <w:rPr>
          <w:rFonts w:asciiTheme="minorHAnsi" w:hAnsiTheme="minorHAnsi"/>
          <w:b/>
          <w:i/>
          <w:lang w:val="sr-Latn-RS"/>
        </w:rPr>
        <w:t xml:space="preserve"> </w:t>
      </w:r>
      <w:r w:rsidR="0088281E" w:rsidRPr="00F5183F">
        <w:rPr>
          <w:rFonts w:asciiTheme="minorHAnsi" w:hAnsiTheme="minorHAnsi"/>
          <w:bCs/>
          <w:iCs/>
          <w:lang w:val="sr-Latn-RS"/>
        </w:rPr>
        <w:t>Kapaciteti za administriranje socijalne</w:t>
      </w:r>
      <w:r w:rsidR="00D046F4" w:rsidRPr="00F5183F">
        <w:rPr>
          <w:rFonts w:asciiTheme="minorHAnsi" w:hAnsiTheme="minorHAnsi"/>
          <w:bCs/>
          <w:iCs/>
          <w:lang w:val="sr-Latn-RS"/>
        </w:rPr>
        <w:t xml:space="preserve"> i porodične </w:t>
      </w:r>
      <w:r w:rsidR="0088281E" w:rsidRPr="00F5183F">
        <w:rPr>
          <w:rFonts w:asciiTheme="minorHAnsi" w:hAnsiTheme="minorHAnsi"/>
          <w:bCs/>
          <w:iCs/>
          <w:lang w:val="sr-Latn-RS"/>
        </w:rPr>
        <w:t xml:space="preserve">zaštite od strane Centara za socijalni rad </w:t>
      </w:r>
      <w:r w:rsidR="00A73648" w:rsidRPr="00F5183F">
        <w:rPr>
          <w:rFonts w:asciiTheme="minorHAnsi" w:hAnsiTheme="minorHAnsi"/>
          <w:bCs/>
          <w:iCs/>
          <w:lang w:val="sr-Latn-RS"/>
        </w:rPr>
        <w:t>su</w:t>
      </w:r>
      <w:r w:rsidR="0088281E" w:rsidRPr="00F5183F">
        <w:rPr>
          <w:rFonts w:asciiTheme="minorHAnsi" w:hAnsiTheme="minorHAnsi"/>
          <w:bCs/>
          <w:iCs/>
          <w:lang w:val="sr-Latn-RS"/>
        </w:rPr>
        <w:t xml:space="preserve"> povoljniji u odnosu na prosek Srbije </w:t>
      </w:r>
      <w:r w:rsidR="00A73648" w:rsidRPr="00F5183F">
        <w:rPr>
          <w:rFonts w:asciiTheme="minorHAnsi" w:hAnsiTheme="minorHAnsi"/>
          <w:bCs/>
          <w:iCs/>
          <w:lang w:val="sr-Latn-RS"/>
        </w:rPr>
        <w:t>ali i Južnobačkog okruga,  s obzirom da je broj stanovnika na jednog stručnog radnika</w:t>
      </w:r>
      <w:r w:rsidR="00DA752F" w:rsidRPr="00F5183F">
        <w:rPr>
          <w:rFonts w:asciiTheme="minorHAnsi" w:hAnsiTheme="minorHAnsi"/>
          <w:bCs/>
          <w:iCs/>
          <w:lang w:val="sr-Latn-RS"/>
        </w:rPr>
        <w:t xml:space="preserve"> </w:t>
      </w:r>
      <w:r w:rsidR="00A73648" w:rsidRPr="00F5183F">
        <w:rPr>
          <w:rFonts w:asciiTheme="minorHAnsi" w:hAnsiTheme="minorHAnsi"/>
          <w:bCs/>
          <w:iCs/>
          <w:lang w:val="sr-Latn-RS"/>
        </w:rPr>
        <w:t>manji u opštini Bač.</w:t>
      </w:r>
      <w:r w:rsidR="00076D2D" w:rsidRPr="00F5183F">
        <w:rPr>
          <w:rFonts w:asciiTheme="minorHAnsi" w:hAnsiTheme="minorHAnsi"/>
          <w:bCs/>
          <w:iCs/>
          <w:lang w:val="sr-Latn-RS"/>
        </w:rPr>
        <w:t xml:space="preserve"> Opterećenost Centra za socijalni rad je međutim veća, ako imamo u vidu da je udeo korisnika socijalne zaštite </w:t>
      </w:r>
      <w:r w:rsidR="00AF72C1" w:rsidRPr="00F5183F">
        <w:rPr>
          <w:rFonts w:asciiTheme="minorHAnsi" w:hAnsiTheme="minorHAnsi"/>
          <w:bCs/>
          <w:iCs/>
          <w:lang w:val="sr-Latn-RS"/>
        </w:rPr>
        <w:t xml:space="preserve">socijalne zaštite </w:t>
      </w:r>
      <w:r w:rsidR="00076D2D" w:rsidRPr="00F5183F">
        <w:rPr>
          <w:rFonts w:asciiTheme="minorHAnsi" w:hAnsiTheme="minorHAnsi"/>
          <w:bCs/>
          <w:iCs/>
          <w:lang w:val="sr-Latn-RS"/>
        </w:rPr>
        <w:t>u ukupnoj populaciji značajno veći nego u okrugu i Republici. Tokom vremena udeo korisnika na evidenciji CSR u opštini Bač je rastao znatno brže</w:t>
      </w:r>
      <w:r w:rsidR="001902F1" w:rsidRPr="00F5183F">
        <w:rPr>
          <w:rFonts w:asciiTheme="minorHAnsi" w:hAnsiTheme="minorHAnsi"/>
          <w:bCs/>
          <w:iCs/>
          <w:lang w:val="sr-Latn-RS"/>
        </w:rPr>
        <w:t xml:space="preserve"> (Grafikon 3)</w:t>
      </w:r>
      <w:r w:rsidR="00076D2D" w:rsidRPr="00F5183F">
        <w:rPr>
          <w:rFonts w:asciiTheme="minorHAnsi" w:hAnsiTheme="minorHAnsi"/>
          <w:bCs/>
          <w:iCs/>
          <w:lang w:val="sr-Latn-RS"/>
        </w:rPr>
        <w:t>. Kretanje ovog indikatora u opštini Bač je pod velikim uticajem variranja broja evidentiranih korisnika koji je tako 2015. godine iznosio 765, da bi 2019. dostigao 2.290.</w:t>
      </w:r>
      <w:r w:rsidR="00076D2D" w:rsidRPr="00F5183F">
        <w:rPr>
          <w:rStyle w:val="FootnoteReference"/>
          <w:rFonts w:asciiTheme="minorHAnsi" w:hAnsiTheme="minorHAnsi"/>
          <w:bCs/>
          <w:iCs/>
          <w:lang w:val="sr-Latn-RS"/>
        </w:rPr>
        <w:footnoteReference w:id="11"/>
      </w:r>
      <w:r w:rsidR="00076D2D" w:rsidRPr="00F5183F">
        <w:rPr>
          <w:rFonts w:asciiTheme="minorHAnsi" w:hAnsiTheme="minorHAnsi"/>
          <w:bCs/>
          <w:iCs/>
          <w:lang w:val="sr-Latn-RS"/>
        </w:rPr>
        <w:t xml:space="preserve">  Ovaj podatak</w:t>
      </w:r>
      <w:r w:rsidR="00741F8A" w:rsidRPr="00F5183F">
        <w:rPr>
          <w:rFonts w:asciiTheme="minorHAnsi" w:hAnsiTheme="minorHAnsi"/>
          <w:bCs/>
          <w:iCs/>
          <w:lang w:val="sr-Latn-RS"/>
        </w:rPr>
        <w:t xml:space="preserve"> </w:t>
      </w:r>
      <w:r w:rsidR="00076D2D" w:rsidRPr="00F5183F">
        <w:rPr>
          <w:rFonts w:asciiTheme="minorHAnsi" w:hAnsiTheme="minorHAnsi"/>
          <w:bCs/>
          <w:iCs/>
          <w:lang w:val="sr-Latn-RS"/>
        </w:rPr>
        <w:t xml:space="preserve">treba uzeti sa rezervom (Boks 2). </w:t>
      </w:r>
    </w:p>
    <w:p w14:paraId="148ED8C3" w14:textId="77777777" w:rsidR="0088281E" w:rsidRPr="00F5183F" w:rsidRDefault="0088281E" w:rsidP="00C8228A">
      <w:pPr>
        <w:rPr>
          <w:rFonts w:asciiTheme="minorHAnsi" w:hAnsiTheme="minorHAnsi"/>
          <w:b/>
          <w:i/>
          <w:sz w:val="22"/>
          <w:szCs w:val="22"/>
          <w:lang w:val="sr-Latn-RS"/>
        </w:rPr>
      </w:pPr>
    </w:p>
    <w:p w14:paraId="4FE5FAE4" w14:textId="76099139" w:rsidR="00223B67" w:rsidRPr="00F5183F" w:rsidRDefault="00E95B54" w:rsidP="00223B67">
      <w:pPr>
        <w:rPr>
          <w:rFonts w:asciiTheme="minorHAnsi" w:hAnsiTheme="minorHAnsi" w:cstheme="minorHAnsi"/>
          <w:bCs/>
          <w:lang w:val="sr-Latn-RS"/>
        </w:rPr>
      </w:pPr>
      <w:r w:rsidRPr="00F5183F">
        <w:rPr>
          <w:rFonts w:asciiTheme="minorHAnsi" w:hAnsiTheme="minorHAnsi" w:cstheme="minorHAnsi"/>
          <w:bCs/>
          <w:lang w:val="sr-Latn-RS"/>
        </w:rPr>
        <w:t>Tabela</w:t>
      </w:r>
      <w:r w:rsidR="0091006B" w:rsidRPr="00F5183F">
        <w:rPr>
          <w:rFonts w:asciiTheme="minorHAnsi" w:hAnsiTheme="minorHAnsi" w:cstheme="minorHAnsi"/>
          <w:bCs/>
          <w:lang w:val="sr-Latn-RS"/>
        </w:rPr>
        <w:t xml:space="preserve"> </w:t>
      </w:r>
      <w:r w:rsidR="00223B67" w:rsidRPr="00F5183F">
        <w:rPr>
          <w:rFonts w:asciiTheme="minorHAnsi" w:hAnsiTheme="minorHAnsi" w:cstheme="minorHAnsi"/>
          <w:bCs/>
          <w:lang w:val="sr-Latn-RS"/>
        </w:rPr>
        <w:t>2</w:t>
      </w:r>
      <w:r w:rsidR="0091006B" w:rsidRPr="00F5183F">
        <w:rPr>
          <w:rFonts w:asciiTheme="minorHAnsi" w:hAnsiTheme="minorHAnsi" w:cstheme="minorHAnsi"/>
          <w:bCs/>
          <w:lang w:val="sr-Latn-RS"/>
        </w:rPr>
        <w:t xml:space="preserve">. </w:t>
      </w:r>
      <w:r w:rsidR="00076D2D" w:rsidRPr="00F5183F">
        <w:rPr>
          <w:rFonts w:asciiTheme="minorHAnsi" w:hAnsiTheme="minorHAnsi"/>
          <w:bCs/>
          <w:lang w:val="sr-Latn-RS"/>
        </w:rPr>
        <w:t>Kapacitet i opterećenost Centra za socijalni rad, 2019.</w:t>
      </w:r>
      <w:r w:rsidR="00223B67" w:rsidRPr="00F5183F">
        <w:rPr>
          <w:rFonts w:asciiTheme="minorHAnsi" w:hAnsiTheme="minorHAnsi" w:cstheme="minorHAnsi"/>
          <w:bCs/>
          <w:color w:val="000000"/>
          <w:shd w:val="clear" w:color="auto" w:fill="FFFFFF"/>
          <w:lang w:val="sr-Latn-RS"/>
        </w:rPr>
        <w:t> </w:t>
      </w:r>
    </w:p>
    <w:tbl>
      <w:tblPr>
        <w:tblW w:w="9420" w:type="dxa"/>
        <w:tblLook w:val="04A0" w:firstRow="1" w:lastRow="0" w:firstColumn="1" w:lastColumn="0" w:noHBand="0" w:noVBand="1"/>
      </w:tblPr>
      <w:tblGrid>
        <w:gridCol w:w="4124"/>
        <w:gridCol w:w="1546"/>
        <w:gridCol w:w="1147"/>
        <w:gridCol w:w="93"/>
        <w:gridCol w:w="1207"/>
        <w:gridCol w:w="93"/>
        <w:gridCol w:w="1117"/>
        <w:gridCol w:w="93"/>
      </w:tblGrid>
      <w:tr w:rsidR="00841A8C" w:rsidRPr="00F5183F" w14:paraId="7FA6A974" w14:textId="77777777" w:rsidTr="00FB740D">
        <w:trPr>
          <w:trHeight w:val="340"/>
        </w:trPr>
        <w:tc>
          <w:tcPr>
            <w:tcW w:w="4124" w:type="dxa"/>
            <w:tcBorders>
              <w:top w:val="single" w:sz="4" w:space="0" w:color="auto"/>
              <w:left w:val="nil"/>
              <w:bottom w:val="single" w:sz="8" w:space="0" w:color="1F4E78"/>
              <w:right w:val="nil"/>
            </w:tcBorders>
            <w:shd w:val="clear" w:color="auto" w:fill="auto"/>
            <w:noWrap/>
            <w:vAlign w:val="bottom"/>
            <w:hideMark/>
          </w:tcPr>
          <w:p w14:paraId="75ED0BD8" w14:textId="77777777" w:rsidR="00841A8C" w:rsidRPr="00F5183F" w:rsidRDefault="00841A8C" w:rsidP="00841A8C">
            <w:pPr>
              <w:rPr>
                <w:rFonts w:asciiTheme="minorHAnsi" w:hAnsiTheme="minorHAnsi" w:cstheme="minorHAnsi"/>
                <w:bCs/>
                <w:color w:val="000000"/>
                <w:lang w:val="sr-Latn-RS"/>
              </w:rPr>
            </w:pPr>
            <w:r w:rsidRPr="00F5183F">
              <w:rPr>
                <w:rFonts w:asciiTheme="minorHAnsi" w:hAnsiTheme="minorHAnsi" w:cstheme="minorHAnsi"/>
                <w:bCs/>
                <w:color w:val="000000"/>
                <w:lang w:val="sr-Latn-RS"/>
              </w:rPr>
              <w:t> </w:t>
            </w:r>
          </w:p>
        </w:tc>
        <w:tc>
          <w:tcPr>
            <w:tcW w:w="1546" w:type="dxa"/>
            <w:tcBorders>
              <w:top w:val="single" w:sz="4" w:space="0" w:color="auto"/>
              <w:left w:val="nil"/>
              <w:bottom w:val="single" w:sz="8" w:space="0" w:color="1F4E78"/>
              <w:right w:val="nil"/>
            </w:tcBorders>
            <w:vAlign w:val="bottom"/>
          </w:tcPr>
          <w:p w14:paraId="15718DF7" w14:textId="6797340C" w:rsidR="00841A8C" w:rsidRPr="00F5183F" w:rsidRDefault="00841A8C" w:rsidP="00841A8C">
            <w:pPr>
              <w:rPr>
                <w:rFonts w:asciiTheme="minorHAnsi" w:hAnsiTheme="minorHAnsi" w:cstheme="minorHAnsi"/>
                <w:bCs/>
                <w:color w:val="000000"/>
                <w:lang w:val="sr-Latn-RS"/>
              </w:rPr>
            </w:pPr>
          </w:p>
        </w:tc>
        <w:tc>
          <w:tcPr>
            <w:tcW w:w="1240" w:type="dxa"/>
            <w:gridSpan w:val="2"/>
            <w:tcBorders>
              <w:top w:val="single" w:sz="4" w:space="0" w:color="auto"/>
              <w:left w:val="nil"/>
              <w:bottom w:val="single" w:sz="8" w:space="0" w:color="1F4E78"/>
              <w:right w:val="nil"/>
            </w:tcBorders>
            <w:shd w:val="clear" w:color="auto" w:fill="auto"/>
            <w:noWrap/>
            <w:vAlign w:val="center"/>
            <w:hideMark/>
          </w:tcPr>
          <w:p w14:paraId="21EC555B" w14:textId="522F6FFF" w:rsidR="00841A8C" w:rsidRPr="00F5183F" w:rsidRDefault="00841A8C" w:rsidP="00841A8C">
            <w:pPr>
              <w:jc w:val="center"/>
              <w:rPr>
                <w:rFonts w:asciiTheme="minorHAnsi" w:hAnsiTheme="minorHAnsi" w:cstheme="minorHAnsi"/>
                <w:bCs/>
                <w:color w:val="000000"/>
                <w:lang w:val="sr-Latn-RS"/>
              </w:rPr>
            </w:pPr>
            <w:r w:rsidRPr="00F5183F">
              <w:rPr>
                <w:rFonts w:asciiTheme="minorHAnsi" w:hAnsiTheme="minorHAnsi" w:cstheme="minorHAnsi"/>
                <w:bCs/>
                <w:color w:val="000000"/>
                <w:lang w:val="sr-Latn-RS"/>
              </w:rPr>
              <w:t>Bač</w:t>
            </w:r>
          </w:p>
        </w:tc>
        <w:tc>
          <w:tcPr>
            <w:tcW w:w="1300" w:type="dxa"/>
            <w:gridSpan w:val="2"/>
            <w:tcBorders>
              <w:top w:val="single" w:sz="4" w:space="0" w:color="auto"/>
              <w:left w:val="nil"/>
              <w:bottom w:val="single" w:sz="8" w:space="0" w:color="1F4E78"/>
              <w:right w:val="nil"/>
            </w:tcBorders>
            <w:vAlign w:val="center"/>
          </w:tcPr>
          <w:p w14:paraId="56A2B939" w14:textId="59583BFC" w:rsidR="00841A8C" w:rsidRPr="00F5183F" w:rsidRDefault="00841A8C" w:rsidP="00841A8C">
            <w:pPr>
              <w:jc w:val="center"/>
              <w:rPr>
                <w:rFonts w:asciiTheme="minorHAnsi" w:hAnsiTheme="minorHAnsi" w:cstheme="minorHAnsi"/>
                <w:bCs/>
                <w:color w:val="000000"/>
                <w:lang w:val="sr-Latn-RS"/>
              </w:rPr>
            </w:pPr>
            <w:r w:rsidRPr="00F5183F">
              <w:rPr>
                <w:rFonts w:asciiTheme="minorHAnsi" w:hAnsiTheme="minorHAnsi" w:cstheme="minorHAnsi"/>
                <w:bCs/>
                <w:color w:val="000000"/>
                <w:lang w:val="sr-Latn-RS"/>
              </w:rPr>
              <w:t>Južnobački okrug</w:t>
            </w:r>
          </w:p>
        </w:tc>
        <w:tc>
          <w:tcPr>
            <w:tcW w:w="1210" w:type="dxa"/>
            <w:gridSpan w:val="2"/>
            <w:tcBorders>
              <w:top w:val="single" w:sz="4" w:space="0" w:color="auto"/>
              <w:left w:val="nil"/>
              <w:bottom w:val="single" w:sz="8" w:space="0" w:color="1F4E78"/>
              <w:right w:val="nil"/>
            </w:tcBorders>
            <w:shd w:val="clear" w:color="auto" w:fill="auto"/>
            <w:noWrap/>
            <w:vAlign w:val="center"/>
            <w:hideMark/>
          </w:tcPr>
          <w:p w14:paraId="685E2B0E" w14:textId="12701B34" w:rsidR="00841A8C" w:rsidRPr="00F5183F" w:rsidRDefault="00C77929" w:rsidP="00841A8C">
            <w:pPr>
              <w:jc w:val="center"/>
              <w:rPr>
                <w:rFonts w:asciiTheme="minorHAnsi" w:hAnsiTheme="minorHAnsi" w:cstheme="minorHAnsi"/>
                <w:bCs/>
                <w:color w:val="000000"/>
                <w:lang w:val="sr-Latn-RS"/>
              </w:rPr>
            </w:pPr>
            <w:r w:rsidRPr="00F5183F">
              <w:rPr>
                <w:rFonts w:asciiTheme="minorHAnsi" w:hAnsiTheme="minorHAnsi"/>
                <w:bCs/>
                <w:color w:val="000000"/>
                <w:sz w:val="22"/>
                <w:szCs w:val="22"/>
                <w:lang w:val="sr-Latn-RS"/>
              </w:rPr>
              <w:t xml:space="preserve">Republika Srbija  </w:t>
            </w:r>
          </w:p>
        </w:tc>
      </w:tr>
      <w:tr w:rsidR="00841A8C" w:rsidRPr="00F5183F" w14:paraId="0EC31871" w14:textId="77777777" w:rsidTr="00AB22A5">
        <w:trPr>
          <w:gridAfter w:val="1"/>
          <w:wAfter w:w="93" w:type="dxa"/>
          <w:trHeight w:val="340"/>
        </w:trPr>
        <w:tc>
          <w:tcPr>
            <w:tcW w:w="5670" w:type="dxa"/>
            <w:gridSpan w:val="2"/>
            <w:tcBorders>
              <w:top w:val="nil"/>
              <w:left w:val="nil"/>
              <w:bottom w:val="nil"/>
              <w:right w:val="nil"/>
            </w:tcBorders>
            <w:shd w:val="clear" w:color="auto" w:fill="auto"/>
            <w:noWrap/>
            <w:vAlign w:val="bottom"/>
            <w:hideMark/>
          </w:tcPr>
          <w:p w14:paraId="5160A54B" w14:textId="6BF86027" w:rsidR="00841A8C" w:rsidRPr="00F5183F" w:rsidRDefault="00841A8C" w:rsidP="00841A8C">
            <w:pPr>
              <w:rPr>
                <w:rFonts w:asciiTheme="minorHAnsi" w:hAnsiTheme="minorHAnsi" w:cstheme="minorHAnsi"/>
                <w:color w:val="000000"/>
                <w:lang w:val="sr-Latn-RS"/>
              </w:rPr>
            </w:pPr>
            <w:r w:rsidRPr="00F5183F">
              <w:rPr>
                <w:rFonts w:asciiTheme="minorHAnsi" w:hAnsiTheme="minorHAnsi" w:cstheme="minorHAnsi"/>
                <w:color w:val="000000"/>
                <w:lang w:val="sr-Latn-RS"/>
              </w:rPr>
              <w:t>Broja stanovnika na 1 stručnog radnika CSR</w:t>
            </w:r>
          </w:p>
        </w:tc>
        <w:tc>
          <w:tcPr>
            <w:tcW w:w="1147" w:type="dxa"/>
            <w:tcBorders>
              <w:top w:val="nil"/>
              <w:left w:val="nil"/>
              <w:bottom w:val="nil"/>
              <w:right w:val="nil"/>
            </w:tcBorders>
            <w:vAlign w:val="center"/>
          </w:tcPr>
          <w:p w14:paraId="3A332293" w14:textId="0762B951" w:rsidR="00841A8C" w:rsidRPr="00F5183F" w:rsidRDefault="00841A8C" w:rsidP="00AB22A5">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3</w:t>
            </w:r>
            <w:r w:rsidR="00741F8A" w:rsidRPr="00F5183F">
              <w:rPr>
                <w:rFonts w:asciiTheme="minorHAnsi" w:hAnsiTheme="minorHAnsi" w:cstheme="minorHAnsi"/>
                <w:color w:val="000000"/>
                <w:lang w:val="sr-Latn-RS"/>
              </w:rPr>
              <w:t>.</w:t>
            </w:r>
            <w:r w:rsidRPr="00F5183F">
              <w:rPr>
                <w:rFonts w:asciiTheme="minorHAnsi" w:hAnsiTheme="minorHAnsi" w:cstheme="minorHAnsi"/>
                <w:color w:val="000000"/>
                <w:lang w:val="sr-Latn-RS"/>
              </w:rPr>
              <w:t>270</w:t>
            </w:r>
          </w:p>
        </w:tc>
        <w:tc>
          <w:tcPr>
            <w:tcW w:w="1300" w:type="dxa"/>
            <w:gridSpan w:val="2"/>
            <w:tcBorders>
              <w:top w:val="nil"/>
              <w:left w:val="nil"/>
              <w:bottom w:val="nil"/>
              <w:right w:val="nil"/>
            </w:tcBorders>
            <w:vAlign w:val="center"/>
          </w:tcPr>
          <w:p w14:paraId="65C253AA" w14:textId="716C0C0C" w:rsidR="00841A8C" w:rsidRPr="00F5183F" w:rsidRDefault="00841A8C" w:rsidP="00AB22A5">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4</w:t>
            </w:r>
            <w:r w:rsidR="00741F8A" w:rsidRPr="00F5183F">
              <w:rPr>
                <w:rFonts w:asciiTheme="minorHAnsi" w:hAnsiTheme="minorHAnsi" w:cstheme="minorHAnsi"/>
                <w:color w:val="000000"/>
                <w:lang w:val="sr-Latn-RS"/>
              </w:rPr>
              <w:t>.</w:t>
            </w:r>
            <w:r w:rsidRPr="00F5183F">
              <w:rPr>
                <w:rFonts w:asciiTheme="minorHAnsi" w:hAnsiTheme="minorHAnsi" w:cstheme="minorHAnsi"/>
                <w:color w:val="000000"/>
                <w:lang w:val="sr-Latn-RS"/>
              </w:rPr>
              <w:t>653</w:t>
            </w:r>
          </w:p>
        </w:tc>
        <w:tc>
          <w:tcPr>
            <w:tcW w:w="1210" w:type="dxa"/>
            <w:gridSpan w:val="2"/>
            <w:tcBorders>
              <w:top w:val="nil"/>
              <w:left w:val="nil"/>
              <w:bottom w:val="nil"/>
              <w:right w:val="nil"/>
            </w:tcBorders>
            <w:shd w:val="clear" w:color="auto" w:fill="auto"/>
            <w:noWrap/>
            <w:vAlign w:val="center"/>
            <w:hideMark/>
          </w:tcPr>
          <w:p w14:paraId="632EA028" w14:textId="59172E54" w:rsidR="00841A8C" w:rsidRPr="00F5183F" w:rsidRDefault="00841A8C" w:rsidP="00AB22A5">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4</w:t>
            </w:r>
            <w:r w:rsidR="00741F8A" w:rsidRPr="00F5183F">
              <w:rPr>
                <w:rFonts w:asciiTheme="minorHAnsi" w:hAnsiTheme="minorHAnsi" w:cstheme="minorHAnsi"/>
                <w:color w:val="000000"/>
                <w:lang w:val="sr-Latn-RS"/>
              </w:rPr>
              <w:t>.</w:t>
            </w:r>
            <w:r w:rsidRPr="00F5183F">
              <w:rPr>
                <w:rFonts w:asciiTheme="minorHAnsi" w:hAnsiTheme="minorHAnsi" w:cstheme="minorHAnsi"/>
                <w:color w:val="000000"/>
                <w:lang w:val="sr-Latn-RS"/>
              </w:rPr>
              <w:t>245</w:t>
            </w:r>
          </w:p>
        </w:tc>
      </w:tr>
      <w:tr w:rsidR="00FB740D" w:rsidRPr="00F5183F" w14:paraId="6F16E792" w14:textId="77777777" w:rsidTr="00AB22A5">
        <w:trPr>
          <w:gridAfter w:val="1"/>
          <w:wAfter w:w="93" w:type="dxa"/>
          <w:trHeight w:val="340"/>
        </w:trPr>
        <w:tc>
          <w:tcPr>
            <w:tcW w:w="5670" w:type="dxa"/>
            <w:gridSpan w:val="2"/>
            <w:tcBorders>
              <w:top w:val="nil"/>
              <w:left w:val="nil"/>
              <w:bottom w:val="single" w:sz="8" w:space="0" w:color="1F4E78"/>
              <w:right w:val="nil"/>
            </w:tcBorders>
            <w:shd w:val="clear" w:color="auto" w:fill="auto"/>
            <w:noWrap/>
            <w:vAlign w:val="bottom"/>
          </w:tcPr>
          <w:p w14:paraId="02692ADE" w14:textId="7837F83B" w:rsidR="00FB740D" w:rsidRPr="00F5183F" w:rsidRDefault="00FB740D" w:rsidP="00841A8C">
            <w:pPr>
              <w:rPr>
                <w:rFonts w:asciiTheme="minorHAnsi" w:hAnsiTheme="minorHAnsi" w:cstheme="minorHAnsi"/>
                <w:color w:val="000000"/>
                <w:lang w:val="sr-Latn-RS"/>
              </w:rPr>
            </w:pPr>
            <w:r w:rsidRPr="00F5183F">
              <w:rPr>
                <w:rFonts w:asciiTheme="minorHAnsi" w:hAnsiTheme="minorHAnsi" w:cstheme="minorHAnsi"/>
                <w:color w:val="000000"/>
                <w:lang w:val="sr-Latn-RS"/>
              </w:rPr>
              <w:t>Udeo korisnika socijalne zaštite u ukupnoj populaciji (%)</w:t>
            </w:r>
          </w:p>
        </w:tc>
        <w:tc>
          <w:tcPr>
            <w:tcW w:w="1147" w:type="dxa"/>
            <w:tcBorders>
              <w:top w:val="nil"/>
              <w:left w:val="nil"/>
              <w:bottom w:val="single" w:sz="8" w:space="0" w:color="1F4E78"/>
              <w:right w:val="nil"/>
            </w:tcBorders>
            <w:vAlign w:val="center"/>
          </w:tcPr>
          <w:p w14:paraId="179E4657" w14:textId="69594406" w:rsidR="00FB740D" w:rsidRPr="00F5183F" w:rsidRDefault="00741F8A" w:rsidP="00AB22A5">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 xml:space="preserve"> </w:t>
            </w:r>
            <w:r w:rsidR="0042132B" w:rsidRPr="00F5183F">
              <w:rPr>
                <w:rFonts w:asciiTheme="minorHAnsi" w:hAnsiTheme="minorHAnsi" w:cstheme="minorHAnsi"/>
                <w:color w:val="000000"/>
                <w:lang w:val="sr-Latn-RS"/>
              </w:rPr>
              <w:t>17,5</w:t>
            </w:r>
          </w:p>
        </w:tc>
        <w:tc>
          <w:tcPr>
            <w:tcW w:w="1300" w:type="dxa"/>
            <w:gridSpan w:val="2"/>
            <w:tcBorders>
              <w:top w:val="nil"/>
              <w:left w:val="nil"/>
              <w:bottom w:val="single" w:sz="8" w:space="0" w:color="1F4E78"/>
              <w:right w:val="nil"/>
            </w:tcBorders>
            <w:vAlign w:val="center"/>
          </w:tcPr>
          <w:p w14:paraId="2DFD3A38" w14:textId="57F5A606" w:rsidR="00FB740D" w:rsidRPr="00F5183F" w:rsidRDefault="00741F8A" w:rsidP="00AB22A5">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 xml:space="preserve">  </w:t>
            </w:r>
            <w:r w:rsidR="0042132B" w:rsidRPr="00F5183F">
              <w:rPr>
                <w:rFonts w:asciiTheme="minorHAnsi" w:hAnsiTheme="minorHAnsi" w:cstheme="minorHAnsi"/>
                <w:color w:val="000000"/>
                <w:lang w:val="sr-Latn-RS"/>
              </w:rPr>
              <w:t>8,1</w:t>
            </w:r>
          </w:p>
        </w:tc>
        <w:tc>
          <w:tcPr>
            <w:tcW w:w="1210" w:type="dxa"/>
            <w:gridSpan w:val="2"/>
            <w:tcBorders>
              <w:top w:val="nil"/>
              <w:left w:val="nil"/>
              <w:bottom w:val="single" w:sz="8" w:space="0" w:color="1F4E78"/>
              <w:right w:val="nil"/>
            </w:tcBorders>
            <w:shd w:val="clear" w:color="auto" w:fill="auto"/>
            <w:noWrap/>
            <w:vAlign w:val="center"/>
          </w:tcPr>
          <w:p w14:paraId="66AF532E" w14:textId="6F7C80A4" w:rsidR="00FB740D" w:rsidRPr="00F5183F" w:rsidRDefault="0042132B" w:rsidP="00AB22A5">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10,3</w:t>
            </w:r>
          </w:p>
        </w:tc>
      </w:tr>
    </w:tbl>
    <w:p w14:paraId="2A3AD6BA" w14:textId="53A3B207" w:rsidR="0088281E" w:rsidRPr="00F5183F" w:rsidRDefault="006427DE" w:rsidP="00EB18B0">
      <w:pPr>
        <w:spacing w:before="20"/>
        <w:rPr>
          <w:rFonts w:asciiTheme="minorHAnsi" w:hAnsiTheme="minorHAnsi" w:cstheme="minorHAnsi"/>
          <w:sz w:val="20"/>
          <w:szCs w:val="20"/>
          <w:lang w:val="sr-Latn-RS"/>
        </w:rPr>
      </w:pPr>
      <w:r w:rsidRPr="00F5183F">
        <w:rPr>
          <w:rFonts w:asciiTheme="minorHAnsi" w:hAnsiTheme="minorHAnsi" w:cstheme="minorHAnsi"/>
          <w:sz w:val="20"/>
          <w:szCs w:val="20"/>
          <w:lang w:val="sr-Latn-RS"/>
        </w:rPr>
        <w:t xml:space="preserve">Izvor: </w:t>
      </w:r>
      <w:r w:rsidR="006168DD" w:rsidRPr="00F5183F">
        <w:rPr>
          <w:rFonts w:asciiTheme="minorHAnsi" w:hAnsiTheme="minorHAnsi" w:cstheme="minorHAnsi"/>
          <w:sz w:val="20"/>
          <w:szCs w:val="20"/>
          <w:lang w:val="sr-Latn-RS"/>
        </w:rPr>
        <w:t>DevInfo</w:t>
      </w:r>
      <w:r w:rsidRPr="00F5183F">
        <w:rPr>
          <w:rFonts w:asciiTheme="minorHAnsi" w:hAnsiTheme="minorHAnsi" w:cstheme="minorHAnsi"/>
          <w:sz w:val="20"/>
          <w:szCs w:val="20"/>
          <w:lang w:val="sr-Latn-RS"/>
        </w:rPr>
        <w:t xml:space="preserve"> – profili opština</w:t>
      </w:r>
    </w:p>
    <w:p w14:paraId="1ACBE148" w14:textId="1A8E3877" w:rsidR="00F83472" w:rsidRPr="00F5183F" w:rsidRDefault="00F83472" w:rsidP="00C8228A">
      <w:pPr>
        <w:rPr>
          <w:rFonts w:asciiTheme="minorHAnsi" w:hAnsiTheme="minorHAnsi"/>
          <w:i/>
          <w:u w:val="single"/>
          <w:lang w:val="sr-Latn-RS"/>
        </w:rPr>
      </w:pPr>
    </w:p>
    <w:p w14:paraId="42ED7F8A" w14:textId="747EFCBF" w:rsidR="00076D2D" w:rsidRPr="00F5183F" w:rsidRDefault="00F83472" w:rsidP="00F83472">
      <w:pPr>
        <w:spacing w:before="20"/>
        <w:rPr>
          <w:rFonts w:asciiTheme="minorHAnsi" w:hAnsiTheme="minorHAnsi" w:cstheme="minorHAnsi"/>
          <w:color w:val="000000"/>
          <w:lang w:val="sr-Latn-RS"/>
        </w:rPr>
      </w:pPr>
      <w:r w:rsidRPr="00F5183F">
        <w:rPr>
          <w:rFonts w:asciiTheme="minorHAnsi" w:hAnsiTheme="minorHAnsi" w:cstheme="minorHAnsi"/>
          <w:lang w:val="sr-Latn-RS"/>
        </w:rPr>
        <w:t>Grafikon 3:</w:t>
      </w:r>
      <w:r w:rsidRPr="00F5183F">
        <w:rPr>
          <w:rFonts w:asciiTheme="minorHAnsi" w:hAnsiTheme="minorHAnsi" w:cstheme="minorHAnsi"/>
          <w:color w:val="000000"/>
          <w:lang w:val="sr-Latn-RS"/>
        </w:rPr>
        <w:t xml:space="preserve"> Udeo korisnika socijalne zaštite u ukupnoj populaciji, 201</w:t>
      </w:r>
      <w:r w:rsidR="00076D2D" w:rsidRPr="00F5183F">
        <w:rPr>
          <w:rFonts w:asciiTheme="minorHAnsi" w:hAnsiTheme="minorHAnsi" w:cstheme="minorHAnsi"/>
          <w:color w:val="000000"/>
          <w:lang w:val="sr-Latn-RS"/>
        </w:rPr>
        <w:t>1</w:t>
      </w:r>
      <w:r w:rsidRPr="00F5183F">
        <w:rPr>
          <w:rFonts w:asciiTheme="minorHAnsi" w:hAnsiTheme="minorHAnsi" w:cstheme="minorHAnsi"/>
          <w:color w:val="000000"/>
          <w:lang w:val="sr-Latn-RS"/>
        </w:rPr>
        <w:t>-2019.  (u%)</w:t>
      </w:r>
    </w:p>
    <w:p w14:paraId="14B7235B" w14:textId="1C526236" w:rsidR="00076D2D" w:rsidRPr="00F5183F" w:rsidRDefault="00076D2D" w:rsidP="00F83472">
      <w:pPr>
        <w:spacing w:before="20"/>
        <w:rPr>
          <w:rFonts w:asciiTheme="minorHAnsi" w:hAnsiTheme="minorHAnsi" w:cstheme="minorHAnsi"/>
          <w:lang w:val="sr-Latn-RS"/>
        </w:rPr>
      </w:pPr>
      <w:r w:rsidRPr="00F5183F">
        <w:rPr>
          <w:noProof/>
          <w:lang w:val="sr-Latn-RS"/>
        </w:rPr>
        <w:drawing>
          <wp:inline distT="0" distB="0" distL="0" distR="0" wp14:anchorId="1F8E5FC6" wp14:editId="4A9BE6D8">
            <wp:extent cx="4690533" cy="2082800"/>
            <wp:effectExtent l="0" t="0" r="8890" b="12700"/>
            <wp:docPr id="2" name="Chart 2">
              <a:extLst xmlns:a="http://schemas.openxmlformats.org/drawingml/2006/main">
                <a:ext uri="{FF2B5EF4-FFF2-40B4-BE49-F238E27FC236}">
                  <a16:creationId xmlns:a16="http://schemas.microsoft.com/office/drawing/2014/main" id="{6643CFB9-C4F2-A848-B27D-C62FA74F8E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97EE05" w14:textId="14D049BD" w:rsidR="001902F1" w:rsidRPr="00F5183F" w:rsidRDefault="001902F1" w:rsidP="001902F1">
      <w:pPr>
        <w:rPr>
          <w:rFonts w:asciiTheme="minorHAnsi" w:hAnsiTheme="minorHAnsi" w:cstheme="minorHAnsi"/>
          <w:color w:val="000000" w:themeColor="text1"/>
          <w:sz w:val="20"/>
          <w:szCs w:val="20"/>
          <w:lang w:val="sr-Latn-RS"/>
        </w:rPr>
      </w:pPr>
      <w:r w:rsidRPr="00F5183F">
        <w:rPr>
          <w:rFonts w:asciiTheme="minorHAnsi" w:hAnsiTheme="minorHAnsi" w:cstheme="minorHAnsi"/>
          <w:color w:val="000000" w:themeColor="text1"/>
          <w:sz w:val="20"/>
          <w:szCs w:val="20"/>
          <w:lang w:val="sr-Latn-RS"/>
        </w:rPr>
        <w:t>Izvor: DevInfo</w:t>
      </w:r>
    </w:p>
    <w:p w14:paraId="07B6C41F" w14:textId="0B7A4DE2" w:rsidR="00076D2D" w:rsidRPr="00F5183F" w:rsidRDefault="00076D2D" w:rsidP="00076D2D">
      <w:pPr>
        <w:pBdr>
          <w:top w:val="single" w:sz="4" w:space="0" w:color="auto" w:shadow="1"/>
          <w:left w:val="single" w:sz="4" w:space="0" w:color="auto" w:shadow="1"/>
          <w:bottom w:val="single" w:sz="4" w:space="1" w:color="auto" w:shadow="1"/>
          <w:right w:val="single" w:sz="4" w:space="4" w:color="auto" w:shadow="1"/>
        </w:pBdr>
        <w:rPr>
          <w:rFonts w:asciiTheme="minorHAnsi" w:hAnsiTheme="minorHAnsi" w:cstheme="minorHAnsi"/>
          <w:color w:val="000000"/>
          <w:lang w:val="sr-Latn-RS"/>
        </w:rPr>
      </w:pPr>
      <w:r w:rsidRPr="00F5183F">
        <w:rPr>
          <w:rFonts w:asciiTheme="minorHAnsi" w:hAnsiTheme="minorHAnsi"/>
          <w:b/>
          <w:smallCaps/>
          <w:sz w:val="22"/>
          <w:szCs w:val="22"/>
          <w:lang w:val="sr-Latn-RS"/>
        </w:rPr>
        <w:lastRenderedPageBreak/>
        <w:t xml:space="preserve">Boks 2. </w:t>
      </w:r>
      <w:r w:rsidR="00785160" w:rsidRPr="00F5183F">
        <w:rPr>
          <w:rFonts w:asciiTheme="minorHAnsi" w:hAnsiTheme="minorHAnsi" w:cstheme="minorHAnsi"/>
          <w:b/>
          <w:bCs/>
          <w:color w:val="000000"/>
          <w:lang w:val="sr-Latn-RS"/>
        </w:rPr>
        <w:t xml:space="preserve">UDEO KORISNIKA SOCIJALNE ZAŠTITE U UKUPNOJ POPULACIJI – INDIKATOR </w:t>
      </w:r>
      <w:r w:rsidR="00102390">
        <w:fldChar w:fldCharType="begin"/>
      </w:r>
      <w:r w:rsidR="00102390">
        <w:instrText xml:space="preserve"> HYPERLINK "http://sdg.indikatori.rs/media/1556/sdg_srbija_lat.pdf" </w:instrText>
      </w:r>
      <w:r w:rsidR="00102390">
        <w:fldChar w:fldCharType="separate"/>
      </w:r>
      <w:r w:rsidR="00785160" w:rsidRPr="00F5183F">
        <w:rPr>
          <w:rStyle w:val="Hyperlink"/>
          <w:rFonts w:asciiTheme="minorHAnsi" w:hAnsiTheme="minorHAnsi" w:cstheme="minorHAnsi"/>
          <w:b/>
          <w:bCs/>
          <w:lang w:val="sr-Latn-RS"/>
        </w:rPr>
        <w:t>CILJEVA ODRŽIVOG RAZVOJA</w:t>
      </w:r>
      <w:r w:rsidR="00102390">
        <w:rPr>
          <w:rStyle w:val="Hyperlink"/>
          <w:rFonts w:asciiTheme="minorHAnsi" w:hAnsiTheme="minorHAnsi" w:cstheme="minorHAnsi"/>
          <w:b/>
          <w:bCs/>
          <w:lang w:val="sr-Latn-RS"/>
        </w:rPr>
        <w:fldChar w:fldCharType="end"/>
      </w:r>
    </w:p>
    <w:p w14:paraId="098E8C11" w14:textId="77777777" w:rsidR="00076D2D" w:rsidRPr="00F5183F" w:rsidRDefault="00076D2D" w:rsidP="00076D2D">
      <w:pPr>
        <w:pBdr>
          <w:top w:val="single" w:sz="4" w:space="0" w:color="auto" w:shadow="1"/>
          <w:left w:val="single" w:sz="4" w:space="0" w:color="auto" w:shadow="1"/>
          <w:bottom w:val="single" w:sz="4" w:space="1" w:color="auto" w:shadow="1"/>
          <w:right w:val="single" w:sz="4" w:space="4" w:color="auto" w:shadow="1"/>
        </w:pBdr>
        <w:rPr>
          <w:rFonts w:asciiTheme="minorHAnsi" w:hAnsiTheme="minorHAnsi" w:cstheme="minorHAnsi"/>
          <w:color w:val="000000"/>
          <w:lang w:val="sr-Latn-RS"/>
        </w:rPr>
      </w:pPr>
    </w:p>
    <w:p w14:paraId="3CA0217F" w14:textId="77777777" w:rsidR="00076D2D" w:rsidRPr="00F5183F" w:rsidRDefault="00076D2D" w:rsidP="00076D2D">
      <w:pPr>
        <w:pBdr>
          <w:top w:val="single" w:sz="4" w:space="0" w:color="auto" w:shadow="1"/>
          <w:left w:val="single" w:sz="4" w:space="0" w:color="auto" w:shadow="1"/>
          <w:bottom w:val="single" w:sz="4" w:space="1" w:color="auto" w:shadow="1"/>
          <w:right w:val="single" w:sz="4" w:space="4" w:color="auto" w:shadow="1"/>
        </w:pBdr>
        <w:jc w:val="both"/>
        <w:rPr>
          <w:rFonts w:ascii="Calibri" w:hAnsi="Calibri" w:cs="Calibri"/>
          <w:lang w:val="sr-Latn-RS"/>
        </w:rPr>
      </w:pPr>
      <w:r w:rsidRPr="00F5183F">
        <w:rPr>
          <w:rFonts w:asciiTheme="minorHAnsi" w:hAnsiTheme="minorHAnsi" w:cstheme="minorHAnsi"/>
          <w:i/>
          <w:iCs/>
          <w:color w:val="000000"/>
          <w:lang w:val="sr-Latn-RS"/>
        </w:rPr>
        <w:t>Udeo korisnika socijalne zaštite u ukupnoj populaciji</w:t>
      </w:r>
      <w:r w:rsidRPr="00F5183F">
        <w:rPr>
          <w:rFonts w:asciiTheme="minorHAnsi" w:hAnsiTheme="minorHAnsi" w:cstheme="minorHAnsi"/>
          <w:color w:val="000000"/>
          <w:lang w:val="sr-Latn-RS"/>
        </w:rPr>
        <w:t xml:space="preserve"> je definisan kao indikator za praćenje cilja 1.3 </w:t>
      </w:r>
      <w:r w:rsidRPr="00F5183F">
        <w:rPr>
          <w:rFonts w:ascii="Calibri" w:hAnsi="Calibri" w:cs="Calibri"/>
          <w:i/>
          <w:iCs/>
          <w:lang w:val="sr-Latn-RS"/>
        </w:rPr>
        <w:t>Primeniti odgovarajuće nacionalne sisteme socijalne zaštite i mere za sve, uključujući najugroženije, i do 2030. postići dovoljno veliki obuhvat siromašnih i ranjivih.</w:t>
      </w:r>
      <w:r w:rsidRPr="00F5183F">
        <w:rPr>
          <w:rStyle w:val="FootnoteReference"/>
          <w:rFonts w:ascii="Calibri" w:hAnsi="Calibri" w:cs="Calibri"/>
          <w:i/>
          <w:iCs/>
          <w:lang w:val="sr-Latn-RS"/>
        </w:rPr>
        <w:footnoteReference w:id="12"/>
      </w:r>
    </w:p>
    <w:p w14:paraId="6631DD40" w14:textId="77777777" w:rsidR="00076D2D" w:rsidRPr="00F5183F" w:rsidRDefault="00076D2D" w:rsidP="00076D2D">
      <w:pPr>
        <w:pBdr>
          <w:top w:val="single" w:sz="4" w:space="0" w:color="auto" w:shadow="1"/>
          <w:left w:val="single" w:sz="4" w:space="0" w:color="auto" w:shadow="1"/>
          <w:bottom w:val="single" w:sz="4" w:space="1" w:color="auto" w:shadow="1"/>
          <w:right w:val="single" w:sz="4" w:space="4" w:color="auto" w:shadow="1"/>
        </w:pBdr>
        <w:jc w:val="both"/>
        <w:rPr>
          <w:rFonts w:ascii="Calibri" w:hAnsi="Calibri" w:cs="Calibri"/>
          <w:lang w:val="sr-Latn-RS"/>
        </w:rPr>
      </w:pPr>
    </w:p>
    <w:p w14:paraId="2201D178" w14:textId="412B8873" w:rsidR="00076D2D" w:rsidRPr="00F5183F" w:rsidRDefault="00076D2D" w:rsidP="00076D2D">
      <w:pPr>
        <w:pBdr>
          <w:top w:val="single" w:sz="4" w:space="0" w:color="auto" w:shadow="1"/>
          <w:left w:val="single" w:sz="4" w:space="0" w:color="auto" w:shadow="1"/>
          <w:bottom w:val="single" w:sz="4" w:space="1" w:color="auto" w:shadow="1"/>
          <w:right w:val="single" w:sz="4" w:space="4" w:color="auto" w:shadow="1"/>
        </w:pBdr>
        <w:jc w:val="both"/>
        <w:rPr>
          <w:rFonts w:asciiTheme="minorHAnsi" w:hAnsiTheme="minorHAnsi"/>
          <w:sz w:val="21"/>
          <w:szCs w:val="21"/>
          <w:lang w:val="sr-Latn-RS"/>
        </w:rPr>
      </w:pPr>
      <w:r w:rsidRPr="00F5183F">
        <w:rPr>
          <w:rFonts w:ascii="Calibri" w:hAnsi="Calibri" w:cs="Calibri"/>
          <w:lang w:val="sr-Latn-RS"/>
        </w:rPr>
        <w:t>Validnost ovog indikatora je upitna</w:t>
      </w:r>
      <w:r w:rsidR="003329F3" w:rsidRPr="00F5183F">
        <w:rPr>
          <w:rFonts w:ascii="Calibri" w:hAnsi="Calibri" w:cs="Calibri"/>
          <w:lang w:val="sr-Latn-RS"/>
        </w:rPr>
        <w:t xml:space="preserve"> imajući u vidu</w:t>
      </w:r>
      <w:r w:rsidRPr="00F5183F">
        <w:rPr>
          <w:rFonts w:ascii="Calibri" w:hAnsi="Calibri" w:cs="Calibri"/>
          <w:lang w:val="sr-Latn-RS"/>
        </w:rPr>
        <w:t xml:space="preserve"> da ukupni broj korisnika socijalne zaštite predstavlja zbir veoma različitih prava i usluga, te da taj zbir ni u apsolutnom ni u relativnom izrazu zapravo nema analitičku vrednost, a samim tim je i je uporedivost</w:t>
      </w:r>
      <w:r w:rsidR="00C90ADE" w:rsidRPr="00F5183F">
        <w:rPr>
          <w:rFonts w:ascii="Calibri" w:hAnsi="Calibri" w:cs="Calibri"/>
          <w:lang w:val="sr-Latn-RS"/>
        </w:rPr>
        <w:t xml:space="preserve"> tokom </w:t>
      </w:r>
      <w:r w:rsidRPr="00F5183F">
        <w:rPr>
          <w:rFonts w:ascii="Calibri" w:hAnsi="Calibri" w:cs="Calibri"/>
          <w:lang w:val="sr-Latn-RS"/>
        </w:rPr>
        <w:t xml:space="preserve"> </w:t>
      </w:r>
      <w:r w:rsidR="00C90ADE" w:rsidRPr="00F5183F">
        <w:rPr>
          <w:rFonts w:ascii="Calibri" w:hAnsi="Calibri" w:cs="Calibri"/>
          <w:lang w:val="sr-Latn-RS"/>
        </w:rPr>
        <w:t xml:space="preserve">vremena, ali i </w:t>
      </w:r>
      <w:r w:rsidRPr="00F5183F">
        <w:rPr>
          <w:rFonts w:ascii="Calibri" w:hAnsi="Calibri" w:cs="Calibri"/>
          <w:lang w:val="sr-Latn-RS"/>
        </w:rPr>
        <w:t xml:space="preserve">između JLS problematična. To se najbolje uočava u sferi usluga socijalne zaštite. Prosto sabiranje </w:t>
      </w:r>
      <w:r w:rsidRPr="00F5183F">
        <w:rPr>
          <w:rFonts w:asciiTheme="minorHAnsi" w:hAnsiTheme="minorHAnsi" w:cstheme="minorHAnsi"/>
          <w:lang w:val="sr-Latn-RS"/>
        </w:rPr>
        <w:t xml:space="preserve">broja korisnika raznorodnih usluga s različitim sadržajem, programima i modelima pružanja </w:t>
      </w:r>
      <w:r w:rsidR="00C90ADE" w:rsidRPr="00F5183F">
        <w:rPr>
          <w:rFonts w:asciiTheme="minorHAnsi" w:hAnsiTheme="minorHAnsi" w:cstheme="minorHAnsi"/>
          <w:lang w:val="sr-Latn-RS"/>
        </w:rPr>
        <w:t xml:space="preserve">ne obezbeđuje validne informacije. </w:t>
      </w:r>
      <w:r w:rsidRPr="00F5183F">
        <w:rPr>
          <w:rFonts w:asciiTheme="minorHAnsi" w:hAnsiTheme="minorHAnsi" w:cstheme="minorHAnsi"/>
          <w:lang w:val="sr-Latn-RS"/>
        </w:rPr>
        <w:t xml:space="preserve"> </w:t>
      </w:r>
    </w:p>
    <w:p w14:paraId="3ACDADAE" w14:textId="77777777" w:rsidR="00076D2D" w:rsidRPr="00F5183F" w:rsidRDefault="00076D2D" w:rsidP="00076D2D">
      <w:pPr>
        <w:pBdr>
          <w:top w:val="single" w:sz="4" w:space="0" w:color="auto" w:shadow="1"/>
          <w:left w:val="single" w:sz="4" w:space="0" w:color="auto" w:shadow="1"/>
          <w:bottom w:val="single" w:sz="4" w:space="1" w:color="auto" w:shadow="1"/>
          <w:right w:val="single" w:sz="4" w:space="4" w:color="auto" w:shadow="1"/>
        </w:pBdr>
        <w:jc w:val="both"/>
        <w:rPr>
          <w:rFonts w:asciiTheme="minorHAnsi" w:hAnsiTheme="minorHAnsi"/>
          <w:sz w:val="10"/>
          <w:szCs w:val="10"/>
          <w:lang w:val="sr-Latn-RS"/>
        </w:rPr>
      </w:pPr>
    </w:p>
    <w:p w14:paraId="1EAC6002" w14:textId="55EBF1BC" w:rsidR="00076D2D" w:rsidRPr="00F5183F" w:rsidRDefault="00076D2D" w:rsidP="00C8228A">
      <w:pPr>
        <w:rPr>
          <w:rFonts w:asciiTheme="minorHAnsi" w:hAnsiTheme="minorHAnsi"/>
          <w:iCs/>
          <w:lang w:val="sr-Latn-RS"/>
        </w:rPr>
      </w:pPr>
    </w:p>
    <w:p w14:paraId="2124D85B" w14:textId="3FB6A5D6" w:rsidR="00F958B7" w:rsidRPr="00F5183F" w:rsidRDefault="00F958B7" w:rsidP="00F958B7">
      <w:pPr>
        <w:jc w:val="both"/>
        <w:rPr>
          <w:rFonts w:asciiTheme="minorHAnsi" w:hAnsiTheme="minorHAnsi"/>
          <w:lang w:val="sr-Latn-RS"/>
        </w:rPr>
      </w:pPr>
      <w:r w:rsidRPr="00F5183F">
        <w:rPr>
          <w:rFonts w:asciiTheme="minorHAnsi" w:hAnsiTheme="minorHAnsi"/>
          <w:b/>
          <w:i/>
          <w:lang w:val="sr-Latn-RS"/>
        </w:rPr>
        <w:t>Pokrivenost st</w:t>
      </w:r>
      <w:r w:rsidR="00E16FC8" w:rsidRPr="00F5183F">
        <w:rPr>
          <w:rFonts w:asciiTheme="minorHAnsi" w:hAnsiTheme="minorHAnsi"/>
          <w:b/>
          <w:i/>
          <w:lang w:val="sr-Latn-RS"/>
        </w:rPr>
        <w:t>arih</w:t>
      </w:r>
      <w:r w:rsidRPr="00F5183F">
        <w:rPr>
          <w:rFonts w:asciiTheme="minorHAnsi" w:hAnsiTheme="minorHAnsi"/>
          <w:b/>
          <w:i/>
          <w:lang w:val="sr-Latn-RS"/>
        </w:rPr>
        <w:t xml:space="preserve"> penzijama je prema procenama </w:t>
      </w:r>
      <w:r w:rsidR="00FD0CDB" w:rsidRPr="00F5183F">
        <w:rPr>
          <w:rFonts w:asciiTheme="minorHAnsi" w:hAnsiTheme="minorHAnsi"/>
          <w:b/>
          <w:i/>
          <w:lang w:val="sr-Latn-RS"/>
        </w:rPr>
        <w:t>na dosta visokom nivou</w:t>
      </w:r>
      <w:r w:rsidRPr="00F5183F">
        <w:rPr>
          <w:rFonts w:asciiTheme="minorHAnsi" w:hAnsiTheme="minorHAnsi"/>
          <w:b/>
          <w:i/>
          <w:lang w:val="sr-Latn-RS"/>
        </w:rPr>
        <w:t>.</w:t>
      </w:r>
      <w:r w:rsidRPr="00F5183F">
        <w:rPr>
          <w:rFonts w:asciiTheme="minorHAnsi" w:hAnsiTheme="minorHAnsi"/>
          <w:lang w:val="sr-Latn-RS"/>
        </w:rPr>
        <w:t xml:space="preserve"> </w:t>
      </w:r>
      <w:r w:rsidR="00FD0CDB" w:rsidRPr="00F5183F">
        <w:rPr>
          <w:rFonts w:asciiTheme="minorHAnsi" w:hAnsiTheme="minorHAnsi"/>
          <w:lang w:val="sr-Latn-RS"/>
        </w:rPr>
        <w:t>P</w:t>
      </w:r>
      <w:r w:rsidRPr="00F5183F">
        <w:rPr>
          <w:rFonts w:asciiTheme="minorHAnsi" w:hAnsiTheme="minorHAnsi"/>
          <w:lang w:val="sr-Latn-RS"/>
        </w:rPr>
        <w:t xml:space="preserve">odaci o broju penzionera po godinama života </w:t>
      </w:r>
      <w:r w:rsidR="00466C15" w:rsidRPr="00F5183F">
        <w:rPr>
          <w:rFonts w:asciiTheme="minorHAnsi" w:hAnsiTheme="minorHAnsi"/>
          <w:lang w:val="sr-Latn-RS"/>
        </w:rPr>
        <w:t xml:space="preserve">po opštinama </w:t>
      </w:r>
      <w:r w:rsidRPr="00F5183F">
        <w:rPr>
          <w:rFonts w:asciiTheme="minorHAnsi" w:hAnsiTheme="minorHAnsi"/>
          <w:lang w:val="sr-Latn-RS"/>
        </w:rPr>
        <w:t>nisu dostupni</w:t>
      </w:r>
      <w:r w:rsidR="00466C15" w:rsidRPr="00F5183F">
        <w:rPr>
          <w:rFonts w:asciiTheme="minorHAnsi" w:hAnsiTheme="minorHAnsi"/>
          <w:lang w:val="sr-Latn-RS"/>
        </w:rPr>
        <w:t>.</w:t>
      </w:r>
      <w:r w:rsidR="00F567C0" w:rsidRPr="00F5183F">
        <w:rPr>
          <w:rFonts w:asciiTheme="minorHAnsi" w:hAnsiTheme="minorHAnsi"/>
          <w:lang w:val="sr-Latn-RS"/>
        </w:rPr>
        <w:t xml:space="preserve"> </w:t>
      </w:r>
      <w:r w:rsidR="00466C15" w:rsidRPr="00F5183F">
        <w:rPr>
          <w:rFonts w:asciiTheme="minorHAnsi" w:hAnsiTheme="minorHAnsi"/>
          <w:lang w:val="sr-Latn-RS"/>
        </w:rPr>
        <w:t>Prema podacima PIO u opštini Bač je 2019</w:t>
      </w:r>
      <w:r w:rsidR="00220061" w:rsidRPr="00F5183F">
        <w:rPr>
          <w:rFonts w:asciiTheme="minorHAnsi" w:hAnsiTheme="minorHAnsi"/>
          <w:lang w:val="sr-Latn-RS"/>
        </w:rPr>
        <w:t>.</w:t>
      </w:r>
      <w:r w:rsidR="00466C15" w:rsidRPr="00F5183F">
        <w:rPr>
          <w:rFonts w:asciiTheme="minorHAnsi" w:hAnsiTheme="minorHAnsi"/>
          <w:lang w:val="sr-Latn-RS"/>
        </w:rPr>
        <w:t xml:space="preserve"> godine prijavljeno </w:t>
      </w:r>
      <w:r w:rsidR="00135EA2" w:rsidRPr="00F5183F">
        <w:rPr>
          <w:rFonts w:asciiTheme="minorHAnsi" w:hAnsiTheme="minorHAnsi"/>
          <w:lang w:val="sr-Latn-RS"/>
        </w:rPr>
        <w:t>2.596 penzionera, dok je prema procenama RZS broj 2.620 starijih od 65 godina. I</w:t>
      </w:r>
      <w:r w:rsidR="00466C15" w:rsidRPr="00F5183F">
        <w:rPr>
          <w:rFonts w:asciiTheme="minorHAnsi" w:hAnsiTheme="minorHAnsi"/>
          <w:lang w:val="sr-Latn-RS"/>
        </w:rPr>
        <w:t xml:space="preserve"> </w:t>
      </w:r>
      <w:r w:rsidR="00F567C0" w:rsidRPr="00F5183F">
        <w:rPr>
          <w:rFonts w:asciiTheme="minorHAnsi" w:hAnsiTheme="minorHAnsi"/>
          <w:lang w:val="sr-Latn-RS"/>
        </w:rPr>
        <w:t>u opštini Bač</w:t>
      </w:r>
      <w:r w:rsidR="00135EA2" w:rsidRPr="00F5183F">
        <w:rPr>
          <w:rFonts w:asciiTheme="minorHAnsi" w:hAnsiTheme="minorHAnsi"/>
          <w:lang w:val="sr-Latn-RS"/>
        </w:rPr>
        <w:t xml:space="preserve"> je svakako</w:t>
      </w:r>
      <w:r w:rsidR="00F567C0" w:rsidRPr="00F5183F">
        <w:rPr>
          <w:rFonts w:asciiTheme="minorHAnsi" w:hAnsiTheme="minorHAnsi"/>
          <w:lang w:val="sr-Latn-RS"/>
        </w:rPr>
        <w:t xml:space="preserve"> jedan broj penzionera </w:t>
      </w:r>
      <w:r w:rsidR="00466C15" w:rsidRPr="00F5183F">
        <w:rPr>
          <w:rFonts w:asciiTheme="minorHAnsi" w:hAnsiTheme="minorHAnsi"/>
          <w:lang w:val="sr-Latn-RS"/>
        </w:rPr>
        <w:t xml:space="preserve">mlađi od 65 godina (jedan broj korisnika porodične i invalidske penzije, korisnici starosne penzije koji su se penzionisali pre starosne granice i sl.).  </w:t>
      </w:r>
      <w:r w:rsidR="00135EA2" w:rsidRPr="00F5183F">
        <w:rPr>
          <w:rFonts w:asciiTheme="minorHAnsi" w:hAnsiTheme="minorHAnsi"/>
          <w:lang w:val="sr-Latn-RS"/>
        </w:rPr>
        <w:t xml:space="preserve">U Republici Srbiji je odnos broja penzionera i populacije starije od 65 godina nešto viši, pa se indirektno može zaključiti da je pokrivenost penzijama u opštini Bač nešto niža od proseka. </w:t>
      </w:r>
    </w:p>
    <w:p w14:paraId="1D8CD1D5" w14:textId="77777777" w:rsidR="00F958B7" w:rsidRPr="00F5183F" w:rsidRDefault="00F958B7" w:rsidP="00F958B7">
      <w:pPr>
        <w:jc w:val="both"/>
        <w:rPr>
          <w:rFonts w:asciiTheme="minorHAnsi" w:hAnsiTheme="minorHAnsi"/>
          <w:lang w:val="sr-Latn-RS"/>
        </w:rPr>
      </w:pPr>
    </w:p>
    <w:p w14:paraId="372F0EA1" w14:textId="0BB4252D" w:rsidR="00F958B7" w:rsidRPr="00F5183F" w:rsidRDefault="00F958B7" w:rsidP="00F958B7">
      <w:pPr>
        <w:jc w:val="both"/>
        <w:rPr>
          <w:rFonts w:asciiTheme="minorHAnsi" w:hAnsiTheme="minorHAnsi"/>
          <w:lang w:val="sr-Latn-RS"/>
        </w:rPr>
      </w:pPr>
      <w:r w:rsidRPr="00F5183F">
        <w:rPr>
          <w:rFonts w:asciiTheme="minorHAnsi" w:hAnsiTheme="minorHAnsi"/>
          <w:b/>
          <w:i/>
          <w:lang w:val="sr-Latn-RS"/>
        </w:rPr>
        <w:t xml:space="preserve">Prosečna penzija </w:t>
      </w:r>
      <w:r w:rsidR="007A4C6C" w:rsidRPr="00F5183F">
        <w:rPr>
          <w:rFonts w:asciiTheme="minorHAnsi" w:hAnsiTheme="minorHAnsi"/>
          <w:b/>
          <w:i/>
          <w:lang w:val="sr-Latn-RS"/>
        </w:rPr>
        <w:t xml:space="preserve">u </w:t>
      </w:r>
      <w:r w:rsidR="00FD0CDB" w:rsidRPr="00F5183F">
        <w:rPr>
          <w:rFonts w:asciiTheme="minorHAnsi" w:hAnsiTheme="minorHAnsi"/>
          <w:b/>
          <w:i/>
          <w:lang w:val="sr-Latn-RS"/>
        </w:rPr>
        <w:t>opštini Bač</w:t>
      </w:r>
      <w:r w:rsidR="007A4C6C" w:rsidRPr="00F5183F">
        <w:rPr>
          <w:rFonts w:asciiTheme="minorHAnsi" w:hAnsiTheme="minorHAnsi"/>
          <w:b/>
          <w:i/>
          <w:lang w:val="sr-Latn-RS"/>
        </w:rPr>
        <w:t xml:space="preserve"> je niža </w:t>
      </w:r>
      <w:r w:rsidR="00E92B69" w:rsidRPr="00F5183F">
        <w:rPr>
          <w:rFonts w:asciiTheme="minorHAnsi" w:hAnsiTheme="minorHAnsi"/>
          <w:b/>
          <w:i/>
          <w:lang w:val="sr-Latn-RS"/>
        </w:rPr>
        <w:t>nego u drugim delovima Srbije</w:t>
      </w:r>
      <w:r w:rsidR="00920A6D" w:rsidRPr="00F5183F">
        <w:rPr>
          <w:rFonts w:asciiTheme="minorHAnsi" w:hAnsiTheme="minorHAnsi"/>
          <w:lang w:val="sr-Latn-RS"/>
        </w:rPr>
        <w:t xml:space="preserve"> </w:t>
      </w:r>
      <w:r w:rsidR="00E92B69" w:rsidRPr="00F5183F">
        <w:rPr>
          <w:rFonts w:asciiTheme="minorHAnsi" w:hAnsiTheme="minorHAnsi"/>
          <w:lang w:val="sr-Latn-RS"/>
        </w:rPr>
        <w:t xml:space="preserve">i iznosi </w:t>
      </w:r>
      <w:r w:rsidR="00920A6D" w:rsidRPr="00F5183F">
        <w:rPr>
          <w:rFonts w:asciiTheme="minorHAnsi" w:hAnsiTheme="minorHAnsi"/>
          <w:lang w:val="sr-Latn-RS"/>
        </w:rPr>
        <w:t>7</w:t>
      </w:r>
      <w:r w:rsidR="00135EA2" w:rsidRPr="00F5183F">
        <w:rPr>
          <w:rFonts w:asciiTheme="minorHAnsi" w:hAnsiTheme="minorHAnsi"/>
          <w:lang w:val="sr-Latn-RS"/>
        </w:rPr>
        <w:t>8,6</w:t>
      </w:r>
      <w:r w:rsidR="00920A6D" w:rsidRPr="00F5183F">
        <w:rPr>
          <w:rFonts w:asciiTheme="minorHAnsi" w:hAnsiTheme="minorHAnsi"/>
          <w:lang w:val="sr-Latn-RS"/>
        </w:rPr>
        <w:t>% prosečne penzi</w:t>
      </w:r>
      <w:r w:rsidR="00C326EA" w:rsidRPr="00F5183F">
        <w:rPr>
          <w:rFonts w:asciiTheme="minorHAnsi" w:hAnsiTheme="minorHAnsi"/>
          <w:lang w:val="sr-Latn-RS"/>
        </w:rPr>
        <w:t xml:space="preserve">je u </w:t>
      </w:r>
      <w:r w:rsidR="00E92B69" w:rsidRPr="00F5183F">
        <w:rPr>
          <w:rFonts w:asciiTheme="minorHAnsi" w:hAnsiTheme="minorHAnsi"/>
          <w:lang w:val="sr-Latn-RS"/>
        </w:rPr>
        <w:t>Republici</w:t>
      </w:r>
      <w:r w:rsidR="00FD0CDB" w:rsidRPr="00F5183F">
        <w:rPr>
          <w:rFonts w:asciiTheme="minorHAnsi" w:hAnsiTheme="minorHAnsi"/>
          <w:lang w:val="sr-Latn-RS"/>
        </w:rPr>
        <w:t>.</w:t>
      </w:r>
    </w:p>
    <w:p w14:paraId="74C8B69B" w14:textId="77777777" w:rsidR="00B0726C" w:rsidRPr="00F5183F" w:rsidRDefault="00F958B7" w:rsidP="00B4327C">
      <w:pPr>
        <w:spacing w:after="60"/>
        <w:jc w:val="both"/>
        <w:rPr>
          <w:rFonts w:asciiTheme="minorHAnsi" w:hAnsiTheme="minorHAnsi"/>
          <w:b/>
          <w:lang w:val="sr-Latn-RS"/>
        </w:rPr>
      </w:pPr>
      <w:r w:rsidRPr="00F5183F">
        <w:rPr>
          <w:rFonts w:asciiTheme="minorHAnsi" w:hAnsiTheme="minorHAnsi"/>
          <w:b/>
          <w:lang w:val="sr-Latn-RS"/>
        </w:rPr>
        <w:tab/>
      </w:r>
      <w:r w:rsidRPr="00F5183F">
        <w:rPr>
          <w:rFonts w:asciiTheme="minorHAnsi" w:hAnsiTheme="minorHAnsi"/>
          <w:b/>
          <w:lang w:val="sr-Latn-RS"/>
        </w:rPr>
        <w:tab/>
      </w:r>
    </w:p>
    <w:p w14:paraId="78A70FC7" w14:textId="067E6F2F" w:rsidR="00F958B7" w:rsidRPr="00F5183F" w:rsidRDefault="00F958B7" w:rsidP="00B4327C">
      <w:pPr>
        <w:spacing w:after="60"/>
        <w:jc w:val="both"/>
        <w:rPr>
          <w:rFonts w:asciiTheme="minorHAnsi" w:hAnsiTheme="minorHAnsi" w:cstheme="minorHAnsi"/>
          <w:bCs/>
          <w:lang w:val="sr-Latn-RS"/>
        </w:rPr>
      </w:pPr>
      <w:r w:rsidRPr="00F5183F">
        <w:rPr>
          <w:rFonts w:asciiTheme="minorHAnsi" w:hAnsiTheme="minorHAnsi" w:cstheme="minorHAnsi"/>
          <w:bCs/>
          <w:lang w:val="sr-Latn-RS"/>
        </w:rPr>
        <w:t>Tabela</w:t>
      </w:r>
      <w:r w:rsidR="00D76240" w:rsidRPr="00F5183F">
        <w:rPr>
          <w:rFonts w:asciiTheme="minorHAnsi" w:hAnsiTheme="minorHAnsi" w:cstheme="minorHAnsi"/>
          <w:bCs/>
          <w:lang w:val="sr-Latn-RS"/>
        </w:rPr>
        <w:t xml:space="preserve"> </w:t>
      </w:r>
      <w:r w:rsidR="00FD0CDB" w:rsidRPr="00F5183F">
        <w:rPr>
          <w:rFonts w:asciiTheme="minorHAnsi" w:hAnsiTheme="minorHAnsi" w:cstheme="minorHAnsi"/>
          <w:bCs/>
          <w:lang w:val="sr-Latn-RS"/>
        </w:rPr>
        <w:t>3</w:t>
      </w:r>
      <w:r w:rsidR="00D76240" w:rsidRPr="00F5183F">
        <w:rPr>
          <w:rFonts w:asciiTheme="minorHAnsi" w:hAnsiTheme="minorHAnsi" w:cstheme="minorHAnsi"/>
          <w:bCs/>
          <w:lang w:val="sr-Latn-RS"/>
        </w:rPr>
        <w:t xml:space="preserve">. </w:t>
      </w:r>
      <w:r w:rsidRPr="00F5183F">
        <w:rPr>
          <w:rFonts w:asciiTheme="minorHAnsi" w:hAnsiTheme="minorHAnsi" w:cstheme="minorHAnsi"/>
          <w:bCs/>
          <w:lang w:val="sr-Latn-RS"/>
        </w:rPr>
        <w:t xml:space="preserve">Prosečna penzija i odnos </w:t>
      </w:r>
      <w:r w:rsidR="00FD0CDB" w:rsidRPr="00F5183F">
        <w:rPr>
          <w:rFonts w:asciiTheme="minorHAnsi" w:hAnsiTheme="minorHAnsi" w:cstheme="minorHAnsi"/>
          <w:bCs/>
          <w:lang w:val="sr-Latn-RS"/>
        </w:rPr>
        <w:t xml:space="preserve">broja penzionera i stanovništva 65+, </w:t>
      </w:r>
      <w:r w:rsidRPr="00F5183F">
        <w:rPr>
          <w:rFonts w:asciiTheme="minorHAnsi" w:hAnsiTheme="minorHAnsi" w:cstheme="minorHAnsi"/>
          <w:bCs/>
          <w:lang w:val="sr-Latn-RS"/>
        </w:rPr>
        <w:t>201</w:t>
      </w:r>
      <w:r w:rsidR="00FD0CDB" w:rsidRPr="00F5183F">
        <w:rPr>
          <w:rFonts w:asciiTheme="minorHAnsi" w:hAnsiTheme="minorHAnsi" w:cstheme="minorHAnsi"/>
          <w:bCs/>
          <w:lang w:val="sr-Latn-RS"/>
        </w:rPr>
        <w:t>9</w:t>
      </w:r>
      <w:r w:rsidR="00135EA2" w:rsidRPr="00F5183F">
        <w:rPr>
          <w:rFonts w:asciiTheme="minorHAnsi" w:hAnsiTheme="minorHAnsi" w:cstheme="minorHAnsi"/>
          <w:bCs/>
          <w:lang w:val="sr-Latn-R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0"/>
        <w:gridCol w:w="2239"/>
        <w:gridCol w:w="1511"/>
      </w:tblGrid>
      <w:tr w:rsidR="00FD0CDB" w:rsidRPr="00F5183F" w14:paraId="2E834AE5" w14:textId="77777777" w:rsidTr="005403B7">
        <w:trPr>
          <w:trHeight w:val="296"/>
          <w:jc w:val="center"/>
        </w:trPr>
        <w:tc>
          <w:tcPr>
            <w:tcW w:w="2997" w:type="pct"/>
            <w:tcBorders>
              <w:top w:val="single" w:sz="4" w:space="0" w:color="auto"/>
              <w:bottom w:val="single" w:sz="4" w:space="0" w:color="auto"/>
            </w:tcBorders>
          </w:tcPr>
          <w:p w14:paraId="3C1545B8" w14:textId="77777777" w:rsidR="00FD0CDB" w:rsidRPr="00F5183F" w:rsidRDefault="00FD0CDB" w:rsidP="005F4C0C">
            <w:pPr>
              <w:jc w:val="both"/>
              <w:rPr>
                <w:rFonts w:asciiTheme="minorHAnsi" w:hAnsiTheme="minorHAnsi" w:cstheme="minorHAnsi"/>
                <w:b/>
                <w:lang w:val="sr-Latn-RS"/>
              </w:rPr>
            </w:pPr>
          </w:p>
        </w:tc>
        <w:tc>
          <w:tcPr>
            <w:tcW w:w="1196" w:type="pct"/>
            <w:tcBorders>
              <w:top w:val="single" w:sz="4" w:space="0" w:color="auto"/>
              <w:bottom w:val="single" w:sz="4" w:space="0" w:color="auto"/>
            </w:tcBorders>
          </w:tcPr>
          <w:p w14:paraId="17208A93" w14:textId="5A1D7199" w:rsidR="00FD0CDB" w:rsidRPr="00F5183F" w:rsidRDefault="00FD0CDB" w:rsidP="00486C29">
            <w:pPr>
              <w:jc w:val="center"/>
              <w:rPr>
                <w:rFonts w:asciiTheme="minorHAnsi" w:hAnsiTheme="minorHAnsi" w:cstheme="minorHAnsi"/>
                <w:bCs/>
                <w:lang w:val="sr-Latn-RS"/>
              </w:rPr>
            </w:pPr>
            <w:r w:rsidRPr="00F5183F">
              <w:rPr>
                <w:rFonts w:asciiTheme="minorHAnsi" w:hAnsiTheme="minorHAnsi" w:cstheme="minorHAnsi"/>
                <w:bCs/>
                <w:lang w:val="sr-Latn-RS"/>
              </w:rPr>
              <w:t>Bač</w:t>
            </w:r>
          </w:p>
        </w:tc>
        <w:tc>
          <w:tcPr>
            <w:tcW w:w="807" w:type="pct"/>
            <w:tcBorders>
              <w:top w:val="single" w:sz="4" w:space="0" w:color="auto"/>
              <w:bottom w:val="single" w:sz="4" w:space="0" w:color="auto"/>
            </w:tcBorders>
          </w:tcPr>
          <w:p w14:paraId="5670DE00" w14:textId="61B0243D" w:rsidR="00FD0CDB" w:rsidRPr="00F5183F" w:rsidRDefault="00C77929" w:rsidP="00486C29">
            <w:pPr>
              <w:jc w:val="center"/>
              <w:rPr>
                <w:rFonts w:asciiTheme="minorHAnsi" w:hAnsiTheme="minorHAnsi" w:cstheme="minorHAnsi"/>
                <w:bCs/>
                <w:lang w:val="sr-Latn-RS"/>
              </w:rPr>
            </w:pPr>
            <w:r w:rsidRPr="00F5183F">
              <w:rPr>
                <w:rFonts w:asciiTheme="minorHAnsi" w:hAnsiTheme="minorHAnsi"/>
                <w:bCs/>
                <w:color w:val="000000"/>
                <w:lang w:val="sr-Latn-RS"/>
              </w:rPr>
              <w:t xml:space="preserve">Republika Srbija  </w:t>
            </w:r>
          </w:p>
        </w:tc>
      </w:tr>
      <w:tr w:rsidR="00FD0CDB" w:rsidRPr="00F5183F" w14:paraId="0153B07F" w14:textId="77777777" w:rsidTr="005403B7">
        <w:trPr>
          <w:jc w:val="center"/>
        </w:trPr>
        <w:tc>
          <w:tcPr>
            <w:tcW w:w="2997" w:type="pct"/>
            <w:tcBorders>
              <w:top w:val="single" w:sz="4" w:space="0" w:color="auto"/>
            </w:tcBorders>
          </w:tcPr>
          <w:p w14:paraId="7DDD0708" w14:textId="77777777" w:rsidR="00FD0CDB" w:rsidRPr="00F5183F" w:rsidRDefault="00FD0CDB" w:rsidP="005F4C0C">
            <w:pPr>
              <w:jc w:val="both"/>
              <w:rPr>
                <w:rFonts w:asciiTheme="minorHAnsi" w:hAnsiTheme="minorHAnsi" w:cstheme="minorHAnsi"/>
                <w:lang w:val="sr-Latn-RS"/>
              </w:rPr>
            </w:pPr>
            <w:r w:rsidRPr="00F5183F">
              <w:rPr>
                <w:rFonts w:asciiTheme="minorHAnsi" w:hAnsiTheme="minorHAnsi" w:cstheme="minorHAnsi"/>
                <w:lang w:val="sr-Latn-RS"/>
              </w:rPr>
              <w:t>Prosečna penzija</w:t>
            </w:r>
          </w:p>
        </w:tc>
        <w:tc>
          <w:tcPr>
            <w:tcW w:w="1196" w:type="pct"/>
            <w:tcBorders>
              <w:top w:val="single" w:sz="4" w:space="0" w:color="auto"/>
            </w:tcBorders>
          </w:tcPr>
          <w:p w14:paraId="2363C7ED" w14:textId="5E45D730" w:rsidR="00FD0CDB" w:rsidRPr="00F5183F" w:rsidRDefault="00135EA2" w:rsidP="00135EA2">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20.707</w:t>
            </w:r>
          </w:p>
        </w:tc>
        <w:tc>
          <w:tcPr>
            <w:tcW w:w="807" w:type="pct"/>
            <w:tcBorders>
              <w:top w:val="single" w:sz="4" w:space="0" w:color="auto"/>
            </w:tcBorders>
          </w:tcPr>
          <w:p w14:paraId="45F9990D" w14:textId="42C4B86F" w:rsidR="00FD0CDB" w:rsidRPr="00F5183F" w:rsidRDefault="00135EA2" w:rsidP="00135EA2">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26.336</w:t>
            </w:r>
          </w:p>
        </w:tc>
      </w:tr>
      <w:tr w:rsidR="00FD0CDB" w:rsidRPr="00F5183F" w14:paraId="7D595B3F" w14:textId="77777777" w:rsidTr="005403B7">
        <w:trPr>
          <w:trHeight w:val="360"/>
          <w:jc w:val="center"/>
        </w:trPr>
        <w:tc>
          <w:tcPr>
            <w:tcW w:w="2997" w:type="pct"/>
            <w:tcBorders>
              <w:bottom w:val="single" w:sz="4" w:space="0" w:color="auto"/>
            </w:tcBorders>
          </w:tcPr>
          <w:p w14:paraId="02A69D4E" w14:textId="53D27E59" w:rsidR="00FD0CDB" w:rsidRPr="00F5183F" w:rsidRDefault="00FD0CDB" w:rsidP="005F4C0C">
            <w:pPr>
              <w:jc w:val="both"/>
              <w:rPr>
                <w:rFonts w:asciiTheme="minorHAnsi" w:hAnsiTheme="minorHAnsi" w:cstheme="minorHAnsi"/>
                <w:lang w:val="sr-Latn-RS"/>
              </w:rPr>
            </w:pPr>
            <w:r w:rsidRPr="00F5183F">
              <w:rPr>
                <w:rFonts w:asciiTheme="minorHAnsi" w:hAnsiTheme="minorHAnsi" w:cstheme="minorHAnsi"/>
                <w:lang w:val="sr-Latn-RS"/>
              </w:rPr>
              <w:t xml:space="preserve">Odnos penzionera i </w:t>
            </w:r>
            <w:r w:rsidR="009C5C74" w:rsidRPr="00F5183F">
              <w:rPr>
                <w:rFonts w:asciiTheme="minorHAnsi" w:hAnsiTheme="minorHAnsi" w:cstheme="minorHAnsi"/>
                <w:lang w:val="sr-Latn-RS"/>
              </w:rPr>
              <w:t>stanovništva</w:t>
            </w:r>
            <w:r w:rsidR="00466C15" w:rsidRPr="00F5183F">
              <w:rPr>
                <w:rFonts w:asciiTheme="minorHAnsi" w:hAnsiTheme="minorHAnsi" w:cstheme="minorHAnsi"/>
                <w:lang w:val="sr-Latn-RS"/>
              </w:rPr>
              <w:t xml:space="preserve"> </w:t>
            </w:r>
            <w:r w:rsidRPr="00F5183F">
              <w:rPr>
                <w:rFonts w:asciiTheme="minorHAnsi" w:hAnsiTheme="minorHAnsi" w:cstheme="minorHAnsi"/>
                <w:lang w:val="sr-Latn-RS"/>
              </w:rPr>
              <w:t>65+</w:t>
            </w:r>
          </w:p>
        </w:tc>
        <w:tc>
          <w:tcPr>
            <w:tcW w:w="1196" w:type="pct"/>
            <w:tcBorders>
              <w:bottom w:val="single" w:sz="4" w:space="0" w:color="auto"/>
            </w:tcBorders>
          </w:tcPr>
          <w:p w14:paraId="4CED7069" w14:textId="41E309C1" w:rsidR="00FD0CDB" w:rsidRPr="00F5183F" w:rsidRDefault="002004DE" w:rsidP="00486C29">
            <w:pPr>
              <w:jc w:val="center"/>
              <w:rPr>
                <w:rFonts w:asciiTheme="minorHAnsi" w:hAnsiTheme="minorHAnsi" w:cstheme="minorHAnsi"/>
                <w:lang w:val="sr-Latn-RS"/>
              </w:rPr>
            </w:pPr>
            <w:r w:rsidRPr="00F5183F">
              <w:rPr>
                <w:rFonts w:asciiTheme="minorHAnsi" w:hAnsiTheme="minorHAnsi" w:cstheme="minorHAnsi"/>
                <w:lang w:val="sr-Latn-RS"/>
              </w:rPr>
              <w:t xml:space="preserve">  </w:t>
            </w:r>
            <w:r w:rsidR="00FD0CDB" w:rsidRPr="00F5183F">
              <w:rPr>
                <w:rFonts w:asciiTheme="minorHAnsi" w:hAnsiTheme="minorHAnsi" w:cstheme="minorHAnsi"/>
                <w:lang w:val="sr-Latn-RS"/>
              </w:rPr>
              <w:t>99</w:t>
            </w:r>
            <w:r w:rsidR="00135EA2" w:rsidRPr="00F5183F">
              <w:rPr>
                <w:rFonts w:asciiTheme="minorHAnsi" w:hAnsiTheme="minorHAnsi" w:cstheme="minorHAnsi"/>
                <w:lang w:val="sr-Latn-RS"/>
              </w:rPr>
              <w:t>,1</w:t>
            </w:r>
            <w:r w:rsidR="00FD0CDB" w:rsidRPr="00F5183F">
              <w:rPr>
                <w:rFonts w:asciiTheme="minorHAnsi" w:hAnsiTheme="minorHAnsi" w:cstheme="minorHAnsi"/>
                <w:lang w:val="sr-Latn-RS"/>
              </w:rPr>
              <w:t>%</w:t>
            </w:r>
          </w:p>
        </w:tc>
        <w:tc>
          <w:tcPr>
            <w:tcW w:w="807" w:type="pct"/>
            <w:tcBorders>
              <w:bottom w:val="single" w:sz="4" w:space="0" w:color="auto"/>
            </w:tcBorders>
          </w:tcPr>
          <w:p w14:paraId="4BFE3E87" w14:textId="3D8B786A" w:rsidR="00FD0CDB" w:rsidRPr="00F5183F" w:rsidRDefault="002004DE" w:rsidP="00486C29">
            <w:pPr>
              <w:jc w:val="center"/>
              <w:rPr>
                <w:rFonts w:asciiTheme="minorHAnsi" w:hAnsiTheme="minorHAnsi" w:cstheme="minorHAnsi"/>
                <w:lang w:val="sr-Latn-RS"/>
              </w:rPr>
            </w:pPr>
            <w:r w:rsidRPr="00F5183F">
              <w:rPr>
                <w:rFonts w:asciiTheme="minorHAnsi" w:hAnsiTheme="minorHAnsi" w:cstheme="minorHAnsi"/>
                <w:lang w:val="sr-Latn-RS"/>
              </w:rPr>
              <w:t xml:space="preserve">  </w:t>
            </w:r>
            <w:r w:rsidR="00FD0CDB" w:rsidRPr="00F5183F">
              <w:rPr>
                <w:rFonts w:asciiTheme="minorHAnsi" w:hAnsiTheme="minorHAnsi" w:cstheme="minorHAnsi"/>
                <w:lang w:val="sr-Latn-RS"/>
              </w:rPr>
              <w:t>118</w:t>
            </w:r>
            <w:r w:rsidR="00135EA2" w:rsidRPr="00F5183F">
              <w:rPr>
                <w:rFonts w:asciiTheme="minorHAnsi" w:hAnsiTheme="minorHAnsi" w:cstheme="minorHAnsi"/>
                <w:lang w:val="sr-Latn-RS"/>
              </w:rPr>
              <w:t>,8</w:t>
            </w:r>
            <w:r w:rsidR="00FD0CDB" w:rsidRPr="00F5183F">
              <w:rPr>
                <w:rFonts w:asciiTheme="minorHAnsi" w:hAnsiTheme="minorHAnsi" w:cstheme="minorHAnsi"/>
                <w:lang w:val="sr-Latn-RS"/>
              </w:rPr>
              <w:t>%</w:t>
            </w:r>
          </w:p>
        </w:tc>
      </w:tr>
    </w:tbl>
    <w:p w14:paraId="680E85EE" w14:textId="0BDFEF6E" w:rsidR="00F958B7" w:rsidRPr="00F5183F" w:rsidRDefault="00F958B7" w:rsidP="00F958B7">
      <w:pPr>
        <w:jc w:val="both"/>
        <w:rPr>
          <w:rFonts w:asciiTheme="minorHAnsi" w:hAnsiTheme="minorHAnsi"/>
          <w:sz w:val="20"/>
          <w:szCs w:val="20"/>
          <w:lang w:val="sr-Latn-RS"/>
        </w:rPr>
      </w:pPr>
      <w:r w:rsidRPr="00F5183F">
        <w:rPr>
          <w:rFonts w:asciiTheme="minorHAnsi" w:hAnsiTheme="minorHAnsi"/>
          <w:sz w:val="18"/>
          <w:szCs w:val="18"/>
          <w:lang w:val="sr-Latn-RS"/>
        </w:rPr>
        <w:t xml:space="preserve">   </w:t>
      </w:r>
      <w:r w:rsidR="005078EB" w:rsidRPr="00F5183F">
        <w:rPr>
          <w:rFonts w:asciiTheme="minorHAnsi" w:hAnsiTheme="minorHAnsi"/>
          <w:sz w:val="18"/>
          <w:szCs w:val="18"/>
          <w:lang w:val="sr-Latn-RS"/>
        </w:rPr>
        <w:t xml:space="preserve"> </w:t>
      </w:r>
      <w:r w:rsidRPr="00F5183F">
        <w:rPr>
          <w:rFonts w:asciiTheme="minorHAnsi" w:hAnsiTheme="minorHAnsi"/>
          <w:sz w:val="20"/>
          <w:szCs w:val="20"/>
          <w:lang w:val="sr-Latn-RS"/>
        </w:rPr>
        <w:t>Izvor: PIO fond i RZS</w:t>
      </w:r>
      <w:r w:rsidR="002004DE" w:rsidRPr="00F5183F">
        <w:rPr>
          <w:rFonts w:asciiTheme="minorHAnsi" w:hAnsiTheme="minorHAnsi"/>
          <w:sz w:val="20"/>
          <w:szCs w:val="20"/>
          <w:lang w:val="sr-Latn-RS"/>
        </w:rPr>
        <w:t>, kalkulacije autora</w:t>
      </w:r>
    </w:p>
    <w:p w14:paraId="73CDBFC3" w14:textId="1A22B182" w:rsidR="0028719C" w:rsidRPr="00F5183F" w:rsidRDefault="0028719C" w:rsidP="00F958B7">
      <w:pPr>
        <w:jc w:val="both"/>
        <w:rPr>
          <w:rFonts w:asciiTheme="minorHAnsi" w:hAnsiTheme="minorHAnsi"/>
          <w:sz w:val="18"/>
          <w:szCs w:val="18"/>
          <w:lang w:val="sr-Latn-RS"/>
        </w:rPr>
      </w:pPr>
      <w:r w:rsidRPr="00F5183F">
        <w:rPr>
          <w:rFonts w:asciiTheme="minorHAnsi" w:hAnsiTheme="minorHAnsi"/>
          <w:sz w:val="18"/>
          <w:szCs w:val="18"/>
          <w:lang w:val="sr-Latn-RS"/>
        </w:rPr>
        <w:t xml:space="preserve">         </w:t>
      </w:r>
    </w:p>
    <w:p w14:paraId="76376B82" w14:textId="77777777" w:rsidR="00915F1B" w:rsidRPr="00F5183F" w:rsidRDefault="00915F1B" w:rsidP="00BF7BB6">
      <w:pPr>
        <w:jc w:val="both"/>
        <w:rPr>
          <w:rFonts w:asciiTheme="minorHAnsi" w:hAnsiTheme="minorHAnsi"/>
          <w:bCs/>
          <w:iCs/>
          <w:lang w:val="sr-Latn-RS"/>
        </w:rPr>
      </w:pPr>
    </w:p>
    <w:p w14:paraId="6967AFED" w14:textId="3778C678" w:rsidR="00C77929" w:rsidRPr="00F5183F" w:rsidRDefault="00F52FF8" w:rsidP="00BF7BB6">
      <w:pPr>
        <w:jc w:val="both"/>
        <w:rPr>
          <w:rFonts w:asciiTheme="minorHAnsi" w:hAnsiTheme="minorHAnsi"/>
          <w:bCs/>
          <w:iCs/>
          <w:lang w:val="sr-Latn-RS"/>
        </w:rPr>
      </w:pPr>
      <w:r w:rsidRPr="00F5183F">
        <w:rPr>
          <w:rFonts w:asciiTheme="minorHAnsi" w:hAnsiTheme="minorHAnsi"/>
          <w:b/>
          <w:i/>
          <w:lang w:val="sr-Latn-RS"/>
        </w:rPr>
        <w:t>Dodatak za pomoć i negu primalo je 6</w:t>
      </w:r>
      <w:r w:rsidR="00D66EBA" w:rsidRPr="00F5183F">
        <w:rPr>
          <w:rFonts w:asciiTheme="minorHAnsi" w:hAnsiTheme="minorHAnsi"/>
          <w:b/>
          <w:i/>
          <w:lang w:val="sr-Latn-RS"/>
        </w:rPr>
        <w:t>8</w:t>
      </w:r>
      <w:r w:rsidRPr="00F5183F">
        <w:rPr>
          <w:rFonts w:asciiTheme="minorHAnsi" w:hAnsiTheme="minorHAnsi"/>
          <w:b/>
          <w:i/>
          <w:lang w:val="sr-Latn-RS"/>
        </w:rPr>
        <w:t xml:space="preserve"> stanovnika opštine Bač, a uvećani dodatak 9</w:t>
      </w:r>
      <w:r w:rsidR="009A62D0" w:rsidRPr="00F5183F">
        <w:rPr>
          <w:rFonts w:asciiTheme="minorHAnsi" w:hAnsiTheme="minorHAnsi"/>
          <w:b/>
          <w:i/>
          <w:lang w:val="sr-Latn-RS"/>
        </w:rPr>
        <w:t>1</w:t>
      </w:r>
      <w:r w:rsidR="009C12F6" w:rsidRPr="00F5183F">
        <w:rPr>
          <w:rFonts w:asciiTheme="minorHAnsi" w:hAnsiTheme="minorHAnsi"/>
          <w:bCs/>
          <w:iCs/>
          <w:lang w:val="sr-Latn-RS"/>
        </w:rPr>
        <w:t xml:space="preserve"> (Tabela 4)</w:t>
      </w:r>
      <w:r w:rsidRPr="00F5183F">
        <w:rPr>
          <w:rFonts w:asciiTheme="minorHAnsi" w:hAnsiTheme="minorHAnsi"/>
          <w:bCs/>
          <w:iCs/>
          <w:lang w:val="sr-Latn-RS"/>
        </w:rPr>
        <w:t xml:space="preserve">. </w:t>
      </w:r>
      <w:r w:rsidR="009A62D0" w:rsidRPr="00F5183F">
        <w:rPr>
          <w:rFonts w:asciiTheme="minorHAnsi" w:hAnsiTheme="minorHAnsi"/>
          <w:bCs/>
          <w:iCs/>
          <w:lang w:val="sr-Latn-RS"/>
        </w:rPr>
        <w:t xml:space="preserve"> Tokom godina broj korisnika ovih prava se nije značajnije promenio.</w:t>
      </w:r>
    </w:p>
    <w:p w14:paraId="0E47DE05" w14:textId="77777777" w:rsidR="00C77929" w:rsidRPr="00F5183F" w:rsidRDefault="00C77929" w:rsidP="00BF7BB6">
      <w:pPr>
        <w:jc w:val="both"/>
        <w:rPr>
          <w:rFonts w:asciiTheme="minorHAnsi" w:hAnsiTheme="minorHAnsi"/>
          <w:bCs/>
          <w:iCs/>
          <w:lang w:val="sr-Latn-RS"/>
        </w:rPr>
      </w:pPr>
    </w:p>
    <w:p w14:paraId="1EEBEA38" w14:textId="2C8E98AC" w:rsidR="002D6D78" w:rsidRPr="00F5183F" w:rsidRDefault="00BF7BB6" w:rsidP="00777FFD">
      <w:pPr>
        <w:jc w:val="both"/>
        <w:rPr>
          <w:rFonts w:asciiTheme="minorHAnsi" w:hAnsiTheme="minorHAnsi"/>
          <w:bCs/>
          <w:iCs/>
          <w:lang w:val="sr-Latn-RS"/>
        </w:rPr>
      </w:pPr>
      <w:r w:rsidRPr="00F5183F">
        <w:rPr>
          <w:rFonts w:asciiTheme="minorHAnsi" w:hAnsiTheme="minorHAnsi"/>
          <w:b/>
          <w:i/>
          <w:lang w:val="sr-Latn-RS"/>
        </w:rPr>
        <w:t>Obuhvat  stanovništva dodatkom za pomoć i negu i uvećanim dodatkom je nešto viš</w:t>
      </w:r>
      <w:r w:rsidR="00915F1B" w:rsidRPr="00F5183F">
        <w:rPr>
          <w:rFonts w:asciiTheme="minorHAnsi" w:hAnsiTheme="minorHAnsi"/>
          <w:b/>
          <w:i/>
          <w:lang w:val="sr-Latn-RS"/>
        </w:rPr>
        <w:t>i</w:t>
      </w:r>
      <w:r w:rsidRPr="00F5183F">
        <w:rPr>
          <w:rFonts w:asciiTheme="minorHAnsi" w:hAnsiTheme="minorHAnsi"/>
          <w:b/>
          <w:i/>
          <w:lang w:val="sr-Latn-RS"/>
        </w:rPr>
        <w:t xml:space="preserve"> od proseka Srbije. </w:t>
      </w:r>
      <w:r w:rsidR="00B0726C" w:rsidRPr="00F5183F">
        <w:rPr>
          <w:rFonts w:asciiTheme="minorHAnsi" w:hAnsiTheme="minorHAnsi"/>
          <w:bCs/>
          <w:iCs/>
          <w:lang w:val="sr-Latn-RS"/>
        </w:rPr>
        <w:t xml:space="preserve">Obuhvat </w:t>
      </w:r>
      <w:r w:rsidR="00841A8C" w:rsidRPr="00F5183F">
        <w:rPr>
          <w:rFonts w:asciiTheme="minorHAnsi" w:hAnsiTheme="minorHAnsi"/>
          <w:bCs/>
          <w:iCs/>
          <w:lang w:val="sr-Latn-RS"/>
        </w:rPr>
        <w:t xml:space="preserve">dece i </w:t>
      </w:r>
      <w:r w:rsidR="00B0726C" w:rsidRPr="00F5183F">
        <w:rPr>
          <w:rFonts w:asciiTheme="minorHAnsi" w:hAnsiTheme="minorHAnsi"/>
          <w:bCs/>
          <w:iCs/>
          <w:lang w:val="sr-Latn-RS"/>
        </w:rPr>
        <w:t xml:space="preserve">starijeg stanovništva dodatkom za pomoć i negu je </w:t>
      </w:r>
      <w:r w:rsidR="00841A8C" w:rsidRPr="00F5183F">
        <w:rPr>
          <w:rFonts w:asciiTheme="minorHAnsi" w:hAnsiTheme="minorHAnsi"/>
          <w:bCs/>
          <w:iCs/>
          <w:lang w:val="sr-Latn-RS"/>
        </w:rPr>
        <w:t xml:space="preserve">znatno </w:t>
      </w:r>
      <w:r w:rsidR="00B0726C" w:rsidRPr="00F5183F">
        <w:rPr>
          <w:rFonts w:asciiTheme="minorHAnsi" w:hAnsiTheme="minorHAnsi"/>
          <w:bCs/>
          <w:iCs/>
          <w:lang w:val="sr-Latn-RS"/>
        </w:rPr>
        <w:t>viš</w:t>
      </w:r>
      <w:r w:rsidR="00841A8C" w:rsidRPr="00F5183F">
        <w:rPr>
          <w:rFonts w:asciiTheme="minorHAnsi" w:hAnsiTheme="minorHAnsi"/>
          <w:bCs/>
          <w:iCs/>
          <w:lang w:val="sr-Latn-RS"/>
        </w:rPr>
        <w:t>i</w:t>
      </w:r>
      <w:r w:rsidR="00B0726C" w:rsidRPr="00F5183F">
        <w:rPr>
          <w:rFonts w:asciiTheme="minorHAnsi" w:hAnsiTheme="minorHAnsi"/>
          <w:bCs/>
          <w:iCs/>
          <w:lang w:val="sr-Latn-RS"/>
        </w:rPr>
        <w:t xml:space="preserve"> od proseka Srbije</w:t>
      </w:r>
      <w:r w:rsidR="00841A8C" w:rsidRPr="00F5183F">
        <w:rPr>
          <w:rFonts w:asciiTheme="minorHAnsi" w:hAnsiTheme="minorHAnsi"/>
          <w:bCs/>
          <w:iCs/>
          <w:lang w:val="sr-Latn-RS"/>
        </w:rPr>
        <w:t>,</w:t>
      </w:r>
      <w:r w:rsidR="00B0726C" w:rsidRPr="00F5183F">
        <w:rPr>
          <w:rFonts w:asciiTheme="minorHAnsi" w:hAnsiTheme="minorHAnsi"/>
          <w:bCs/>
          <w:iCs/>
          <w:lang w:val="sr-Latn-RS"/>
        </w:rPr>
        <w:t xml:space="preserve"> </w:t>
      </w:r>
      <w:r w:rsidR="00841A8C" w:rsidRPr="00F5183F">
        <w:rPr>
          <w:rFonts w:asciiTheme="minorHAnsi" w:hAnsiTheme="minorHAnsi"/>
          <w:bCs/>
          <w:iCs/>
          <w:lang w:val="sr-Latn-RS"/>
        </w:rPr>
        <w:t xml:space="preserve">a viši je </w:t>
      </w:r>
      <w:r w:rsidR="00777FFD" w:rsidRPr="00F5183F">
        <w:rPr>
          <w:rFonts w:asciiTheme="minorHAnsi" w:hAnsiTheme="minorHAnsi"/>
          <w:bCs/>
          <w:iCs/>
          <w:lang w:val="sr-Latn-RS"/>
        </w:rPr>
        <w:t>i</w:t>
      </w:r>
      <w:r w:rsidR="00B0726C" w:rsidRPr="00F5183F">
        <w:rPr>
          <w:rFonts w:asciiTheme="minorHAnsi" w:hAnsiTheme="minorHAnsi"/>
          <w:bCs/>
          <w:iCs/>
          <w:lang w:val="sr-Latn-RS"/>
        </w:rPr>
        <w:t xml:space="preserve"> obuhvat ukupnog stanovniš</w:t>
      </w:r>
      <w:r w:rsidR="00777FFD" w:rsidRPr="00F5183F">
        <w:rPr>
          <w:rFonts w:asciiTheme="minorHAnsi" w:hAnsiTheme="minorHAnsi"/>
          <w:bCs/>
          <w:iCs/>
          <w:lang w:val="sr-Latn-RS"/>
        </w:rPr>
        <w:t>t</w:t>
      </w:r>
      <w:r w:rsidR="00B0726C" w:rsidRPr="00F5183F">
        <w:rPr>
          <w:rFonts w:asciiTheme="minorHAnsi" w:hAnsiTheme="minorHAnsi"/>
          <w:bCs/>
          <w:iCs/>
          <w:lang w:val="sr-Latn-RS"/>
        </w:rPr>
        <w:t>va uvećanim dodatkom</w:t>
      </w:r>
      <w:r w:rsidR="009A62D0" w:rsidRPr="00F5183F">
        <w:rPr>
          <w:rFonts w:asciiTheme="minorHAnsi" w:hAnsiTheme="minorHAnsi"/>
          <w:bCs/>
          <w:iCs/>
          <w:lang w:val="sr-Latn-RS"/>
        </w:rPr>
        <w:t xml:space="preserve">. Viši obuhvat starije </w:t>
      </w:r>
      <w:r w:rsidR="009A62D0" w:rsidRPr="00F5183F">
        <w:rPr>
          <w:rFonts w:asciiTheme="minorHAnsi" w:hAnsiTheme="minorHAnsi"/>
          <w:bCs/>
          <w:iCs/>
          <w:lang w:val="sr-Latn-RS"/>
        </w:rPr>
        <w:lastRenderedPageBreak/>
        <w:t xml:space="preserve">populacije </w:t>
      </w:r>
      <w:r w:rsidR="00ED26B8" w:rsidRPr="00F5183F">
        <w:rPr>
          <w:rFonts w:asciiTheme="minorHAnsi" w:hAnsiTheme="minorHAnsi"/>
          <w:bCs/>
          <w:iCs/>
          <w:lang w:val="sr-Latn-RS"/>
        </w:rPr>
        <w:t xml:space="preserve">je, moguće, </w:t>
      </w:r>
      <w:r w:rsidR="009A62D0" w:rsidRPr="00F5183F">
        <w:rPr>
          <w:rFonts w:asciiTheme="minorHAnsi" w:hAnsiTheme="minorHAnsi"/>
          <w:bCs/>
          <w:iCs/>
          <w:lang w:val="sr-Latn-RS"/>
        </w:rPr>
        <w:t>rezultat razlika u obuhvatu naknadom za pomoć i negu</w:t>
      </w:r>
      <w:r w:rsidR="00C90ADE" w:rsidRPr="00F5183F">
        <w:rPr>
          <w:rFonts w:asciiTheme="minorHAnsi" w:hAnsiTheme="minorHAnsi"/>
          <w:bCs/>
          <w:iCs/>
          <w:lang w:val="sr-Latn-RS"/>
        </w:rPr>
        <w:t>. Za adekvatno poređenje potrebno je da se imaju u vidu i ti podaci</w:t>
      </w:r>
      <w:r w:rsidR="009A62D0" w:rsidRPr="00F5183F">
        <w:rPr>
          <w:rFonts w:asciiTheme="minorHAnsi" w:hAnsiTheme="minorHAnsi"/>
          <w:bCs/>
          <w:iCs/>
          <w:lang w:val="sr-Latn-RS"/>
        </w:rPr>
        <w:t xml:space="preserve"> (Bo</w:t>
      </w:r>
      <w:r w:rsidR="00F516B7" w:rsidRPr="00F5183F">
        <w:rPr>
          <w:rFonts w:asciiTheme="minorHAnsi" w:hAnsiTheme="minorHAnsi"/>
          <w:bCs/>
          <w:iCs/>
          <w:lang w:val="sr-Latn-RS"/>
        </w:rPr>
        <w:t>ks</w:t>
      </w:r>
      <w:r w:rsidR="009A62D0" w:rsidRPr="00F5183F">
        <w:rPr>
          <w:rFonts w:asciiTheme="minorHAnsi" w:hAnsiTheme="minorHAnsi"/>
          <w:bCs/>
          <w:iCs/>
          <w:lang w:val="sr-Latn-RS"/>
        </w:rPr>
        <w:t xml:space="preserve"> </w:t>
      </w:r>
      <w:r w:rsidR="00F910D8" w:rsidRPr="00F5183F">
        <w:rPr>
          <w:rFonts w:asciiTheme="minorHAnsi" w:hAnsiTheme="minorHAnsi"/>
          <w:bCs/>
          <w:iCs/>
          <w:lang w:val="sr-Latn-RS"/>
        </w:rPr>
        <w:t>3</w:t>
      </w:r>
      <w:r w:rsidR="009A62D0" w:rsidRPr="00F5183F">
        <w:rPr>
          <w:rFonts w:asciiTheme="minorHAnsi" w:hAnsiTheme="minorHAnsi"/>
          <w:bCs/>
          <w:iCs/>
          <w:lang w:val="sr-Latn-RS"/>
        </w:rPr>
        <w:t xml:space="preserve">).   </w:t>
      </w:r>
    </w:p>
    <w:p w14:paraId="19D8515B" w14:textId="77777777" w:rsidR="00B0726C" w:rsidRPr="00F5183F" w:rsidRDefault="00B0726C" w:rsidP="00777FFD">
      <w:pPr>
        <w:jc w:val="both"/>
        <w:rPr>
          <w:rFonts w:asciiTheme="minorHAnsi" w:hAnsiTheme="minorHAnsi"/>
          <w:lang w:val="sr-Latn-RS"/>
        </w:rPr>
      </w:pPr>
    </w:p>
    <w:p w14:paraId="5B853B50" w14:textId="55542605" w:rsidR="002D6D78" w:rsidRPr="00F5183F" w:rsidRDefault="002D6D78" w:rsidP="005403B7">
      <w:pPr>
        <w:rPr>
          <w:rFonts w:asciiTheme="minorHAnsi" w:hAnsiTheme="minorHAnsi" w:cstheme="minorHAnsi"/>
          <w:bCs/>
          <w:lang w:val="sr-Latn-RS"/>
        </w:rPr>
      </w:pPr>
      <w:r w:rsidRPr="00F5183F">
        <w:rPr>
          <w:rFonts w:asciiTheme="minorHAnsi" w:hAnsiTheme="minorHAnsi" w:cstheme="minorHAnsi"/>
          <w:bCs/>
          <w:lang w:val="sr-Latn-RS"/>
        </w:rPr>
        <w:t>Tabela</w:t>
      </w:r>
      <w:r w:rsidR="00001AF1" w:rsidRPr="00F5183F">
        <w:rPr>
          <w:rFonts w:asciiTheme="minorHAnsi" w:hAnsiTheme="minorHAnsi" w:cstheme="minorHAnsi"/>
          <w:bCs/>
          <w:lang w:val="sr-Latn-RS"/>
        </w:rPr>
        <w:t xml:space="preserve"> </w:t>
      </w:r>
      <w:r w:rsidR="00841A8C" w:rsidRPr="00F5183F">
        <w:rPr>
          <w:rFonts w:asciiTheme="minorHAnsi" w:hAnsiTheme="minorHAnsi" w:cstheme="minorHAnsi"/>
          <w:bCs/>
          <w:lang w:val="sr-Latn-RS"/>
        </w:rPr>
        <w:t>4</w:t>
      </w:r>
      <w:r w:rsidRPr="00F5183F">
        <w:rPr>
          <w:rFonts w:asciiTheme="minorHAnsi" w:hAnsiTheme="minorHAnsi" w:cstheme="minorHAnsi"/>
          <w:bCs/>
          <w:lang w:val="sr-Latn-RS"/>
        </w:rPr>
        <w:t>.</w:t>
      </w:r>
      <w:r w:rsidR="00D76240" w:rsidRPr="00F5183F">
        <w:rPr>
          <w:rFonts w:asciiTheme="minorHAnsi" w:hAnsiTheme="minorHAnsi" w:cstheme="minorHAnsi"/>
          <w:bCs/>
          <w:lang w:val="sr-Latn-RS"/>
        </w:rPr>
        <w:t xml:space="preserve"> </w:t>
      </w:r>
      <w:r w:rsidRPr="00F5183F">
        <w:rPr>
          <w:rFonts w:asciiTheme="minorHAnsi" w:hAnsiTheme="minorHAnsi" w:cstheme="minorHAnsi"/>
          <w:bCs/>
          <w:lang w:val="sr-Latn-RS"/>
        </w:rPr>
        <w:t>Korisnici dodatka za pomoć i negu</w:t>
      </w:r>
      <w:r w:rsidR="00FC5229" w:rsidRPr="00F5183F">
        <w:rPr>
          <w:rFonts w:asciiTheme="minorHAnsi" w:hAnsiTheme="minorHAnsi" w:cstheme="minorHAnsi"/>
          <w:bCs/>
          <w:lang w:val="sr-Latn-RS"/>
        </w:rPr>
        <w:t xml:space="preserve"> i uvećanog dodatka za pomoć i negu</w:t>
      </w:r>
      <w:r w:rsidRPr="00F5183F">
        <w:rPr>
          <w:rFonts w:asciiTheme="minorHAnsi" w:hAnsiTheme="minorHAnsi" w:cstheme="minorHAnsi"/>
          <w:bCs/>
          <w:lang w:val="sr-Latn-RS"/>
        </w:rPr>
        <w:t>,</w:t>
      </w:r>
      <w:r w:rsidR="00F52FF8" w:rsidRPr="00F5183F">
        <w:rPr>
          <w:rFonts w:asciiTheme="minorHAnsi" w:hAnsiTheme="minorHAnsi" w:cstheme="minorHAnsi"/>
          <w:bCs/>
          <w:lang w:val="sr-Latn-RS"/>
        </w:rPr>
        <w:t xml:space="preserve"> </w:t>
      </w:r>
      <w:r w:rsidRPr="00F5183F">
        <w:rPr>
          <w:rFonts w:asciiTheme="minorHAnsi" w:hAnsiTheme="minorHAnsi" w:cstheme="minorHAnsi"/>
          <w:bCs/>
          <w:lang w:val="sr-Latn-RS"/>
        </w:rPr>
        <w:t>201</w:t>
      </w:r>
      <w:r w:rsidR="00FC5229" w:rsidRPr="00F5183F">
        <w:rPr>
          <w:rFonts w:asciiTheme="minorHAnsi" w:hAnsiTheme="minorHAnsi" w:cstheme="minorHAnsi"/>
          <w:bCs/>
          <w:lang w:val="sr-Latn-RS"/>
        </w:rPr>
        <w:t>9</w:t>
      </w:r>
      <w:r w:rsidR="00F52FF8" w:rsidRPr="00F5183F">
        <w:rPr>
          <w:rFonts w:asciiTheme="minorHAnsi" w:hAnsiTheme="minorHAnsi" w:cstheme="minorHAnsi"/>
          <w:bCs/>
          <w:lang w:val="sr-Latn-RS"/>
        </w:rPr>
        <w:t>.</w:t>
      </w:r>
    </w:p>
    <w:tbl>
      <w:tblPr>
        <w:tblW w:w="5000" w:type="pct"/>
        <w:jc w:val="center"/>
        <w:tblLook w:val="04A0" w:firstRow="1" w:lastRow="0" w:firstColumn="1" w:lastColumn="0" w:noHBand="0" w:noVBand="1"/>
      </w:tblPr>
      <w:tblGrid>
        <w:gridCol w:w="5381"/>
        <w:gridCol w:w="1160"/>
        <w:gridCol w:w="1006"/>
        <w:gridCol w:w="1813"/>
      </w:tblGrid>
      <w:tr w:rsidR="003A43E3" w:rsidRPr="00F5183F" w14:paraId="4586E106" w14:textId="77777777" w:rsidTr="005403B7">
        <w:trPr>
          <w:trHeight w:val="420"/>
          <w:jc w:val="center"/>
        </w:trPr>
        <w:tc>
          <w:tcPr>
            <w:tcW w:w="2913" w:type="pct"/>
            <w:tcBorders>
              <w:top w:val="single" w:sz="4" w:space="0" w:color="2F5496" w:themeColor="accent5" w:themeShade="BF"/>
              <w:left w:val="nil"/>
              <w:bottom w:val="single" w:sz="4" w:space="0" w:color="2F5496" w:themeColor="accent5" w:themeShade="BF"/>
              <w:right w:val="nil"/>
            </w:tcBorders>
            <w:shd w:val="clear" w:color="auto" w:fill="auto"/>
            <w:noWrap/>
            <w:vAlign w:val="bottom"/>
            <w:hideMark/>
          </w:tcPr>
          <w:p w14:paraId="1232A73C" w14:textId="5B4B193D" w:rsidR="003A43E3" w:rsidRPr="00F5183F" w:rsidRDefault="003A43E3" w:rsidP="00A8365E">
            <w:pPr>
              <w:rPr>
                <w:rFonts w:asciiTheme="minorHAnsi" w:hAnsiTheme="minorHAnsi" w:cstheme="minorHAnsi"/>
                <w:bCs/>
                <w:color w:val="000000"/>
                <w:lang w:val="sr-Latn-RS"/>
              </w:rPr>
            </w:pPr>
          </w:p>
        </w:tc>
        <w:tc>
          <w:tcPr>
            <w:tcW w:w="504" w:type="pct"/>
            <w:tcBorders>
              <w:top w:val="single" w:sz="4" w:space="0" w:color="2F5496" w:themeColor="accent5" w:themeShade="BF"/>
              <w:left w:val="nil"/>
              <w:bottom w:val="single" w:sz="4" w:space="0" w:color="2F5496" w:themeColor="accent5" w:themeShade="BF"/>
              <w:right w:val="nil"/>
            </w:tcBorders>
            <w:shd w:val="clear" w:color="auto" w:fill="auto"/>
            <w:noWrap/>
            <w:vAlign w:val="bottom"/>
            <w:hideMark/>
          </w:tcPr>
          <w:p w14:paraId="236215ED" w14:textId="638DF86F" w:rsidR="003A43E3" w:rsidRPr="00F5183F" w:rsidRDefault="00C90ADE" w:rsidP="00B033DF">
            <w:pPr>
              <w:jc w:val="center"/>
              <w:rPr>
                <w:rFonts w:asciiTheme="minorHAnsi" w:hAnsiTheme="minorHAnsi" w:cstheme="minorHAnsi"/>
                <w:bCs/>
                <w:color w:val="000000"/>
                <w:lang w:val="sr-Latn-RS"/>
              </w:rPr>
            </w:pPr>
            <w:r w:rsidRPr="00F5183F">
              <w:rPr>
                <w:rFonts w:asciiTheme="minorHAnsi" w:hAnsiTheme="minorHAnsi" w:cstheme="minorHAnsi"/>
                <w:bCs/>
                <w:color w:val="000000"/>
                <w:lang w:val="sr-Latn-RS"/>
              </w:rPr>
              <w:t xml:space="preserve">           </w:t>
            </w:r>
            <w:r w:rsidR="003A43E3" w:rsidRPr="00F5183F">
              <w:rPr>
                <w:rFonts w:asciiTheme="minorHAnsi" w:hAnsiTheme="minorHAnsi" w:cstheme="minorHAnsi"/>
                <w:bCs/>
                <w:color w:val="000000"/>
                <w:lang w:val="sr-Latn-RS"/>
              </w:rPr>
              <w:t>Bač</w:t>
            </w:r>
          </w:p>
          <w:p w14:paraId="2FB3C6FE" w14:textId="33473E20" w:rsidR="009C12F6" w:rsidRPr="00F5183F" w:rsidRDefault="009C12F6" w:rsidP="009C12F6">
            <w:pPr>
              <w:jc w:val="center"/>
              <w:rPr>
                <w:rFonts w:asciiTheme="minorHAnsi" w:hAnsiTheme="minorHAnsi" w:cstheme="minorHAnsi"/>
                <w:bCs/>
                <w:color w:val="000000"/>
                <w:lang w:val="sr-Latn-RS"/>
              </w:rPr>
            </w:pPr>
            <w:r w:rsidRPr="00F5183F">
              <w:rPr>
                <w:rFonts w:asciiTheme="minorHAnsi" w:hAnsiTheme="minorHAnsi" w:cstheme="minorHAnsi"/>
                <w:bCs/>
                <w:color w:val="000000"/>
                <w:lang w:val="sr-Latn-RS"/>
              </w:rPr>
              <w:t>Broj</w:t>
            </w:r>
          </w:p>
        </w:tc>
        <w:tc>
          <w:tcPr>
            <w:tcW w:w="576" w:type="pct"/>
            <w:tcBorders>
              <w:top w:val="single" w:sz="4" w:space="0" w:color="2F5496" w:themeColor="accent5" w:themeShade="BF"/>
              <w:left w:val="nil"/>
              <w:bottom w:val="single" w:sz="4" w:space="0" w:color="2F5496" w:themeColor="accent5" w:themeShade="BF"/>
              <w:right w:val="nil"/>
            </w:tcBorders>
            <w:shd w:val="clear" w:color="auto" w:fill="auto"/>
            <w:vAlign w:val="bottom"/>
          </w:tcPr>
          <w:p w14:paraId="3C465F92" w14:textId="33B910BB" w:rsidR="003A43E3" w:rsidRPr="00F5183F" w:rsidRDefault="009C12F6" w:rsidP="009C12F6">
            <w:pPr>
              <w:jc w:val="center"/>
              <w:rPr>
                <w:rFonts w:asciiTheme="minorHAnsi" w:hAnsiTheme="minorHAnsi" w:cstheme="minorHAnsi"/>
                <w:bCs/>
                <w:color w:val="000000"/>
                <w:lang w:val="sr-Latn-RS"/>
              </w:rPr>
            </w:pPr>
            <w:r w:rsidRPr="00F5183F">
              <w:rPr>
                <w:rFonts w:asciiTheme="minorHAnsi" w:hAnsiTheme="minorHAnsi" w:cstheme="minorHAnsi"/>
                <w:bCs/>
                <w:color w:val="000000"/>
                <w:lang w:val="sr-Latn-RS"/>
              </w:rPr>
              <w:t>Udeo</w:t>
            </w:r>
          </w:p>
        </w:tc>
        <w:tc>
          <w:tcPr>
            <w:tcW w:w="1007" w:type="pct"/>
            <w:tcBorders>
              <w:top w:val="single" w:sz="4" w:space="0" w:color="2F5496" w:themeColor="accent5" w:themeShade="BF"/>
              <w:left w:val="nil"/>
              <w:bottom w:val="single" w:sz="8" w:space="0" w:color="1F4E78"/>
              <w:right w:val="nil"/>
            </w:tcBorders>
            <w:shd w:val="clear" w:color="auto" w:fill="auto"/>
            <w:noWrap/>
            <w:vAlign w:val="bottom"/>
            <w:hideMark/>
          </w:tcPr>
          <w:p w14:paraId="72CD3569" w14:textId="4F2723D2" w:rsidR="003A43E3" w:rsidRPr="00F5183F" w:rsidRDefault="003A43E3" w:rsidP="009C12F6">
            <w:pPr>
              <w:jc w:val="center"/>
              <w:rPr>
                <w:rFonts w:asciiTheme="minorHAnsi" w:hAnsiTheme="minorHAnsi" w:cstheme="minorHAnsi"/>
                <w:bCs/>
                <w:color w:val="000000"/>
                <w:lang w:val="sr-Latn-RS"/>
              </w:rPr>
            </w:pPr>
            <w:r w:rsidRPr="00F5183F">
              <w:rPr>
                <w:rFonts w:asciiTheme="minorHAnsi" w:hAnsiTheme="minorHAnsi"/>
                <w:bCs/>
                <w:color w:val="000000"/>
                <w:lang w:val="sr-Latn-RS"/>
              </w:rPr>
              <w:t>Republika Srbija</w:t>
            </w:r>
          </w:p>
        </w:tc>
      </w:tr>
      <w:tr w:rsidR="00C47F8C" w:rsidRPr="00F5183F" w14:paraId="1CE64215" w14:textId="77777777" w:rsidTr="005403B7">
        <w:trPr>
          <w:trHeight w:val="380"/>
          <w:jc w:val="center"/>
        </w:trPr>
        <w:tc>
          <w:tcPr>
            <w:tcW w:w="2913" w:type="pct"/>
            <w:tcBorders>
              <w:top w:val="single" w:sz="4" w:space="0" w:color="2F5496" w:themeColor="accent5" w:themeShade="BF"/>
              <w:left w:val="nil"/>
              <w:bottom w:val="nil"/>
              <w:right w:val="nil"/>
            </w:tcBorders>
            <w:shd w:val="clear" w:color="auto" w:fill="auto"/>
            <w:noWrap/>
            <w:vAlign w:val="bottom"/>
            <w:hideMark/>
          </w:tcPr>
          <w:p w14:paraId="627381F6" w14:textId="77777777" w:rsidR="00C47F8C" w:rsidRPr="00F5183F" w:rsidRDefault="00C47F8C" w:rsidP="00C47F8C">
            <w:pPr>
              <w:rPr>
                <w:rFonts w:asciiTheme="minorHAnsi" w:hAnsiTheme="minorHAnsi" w:cstheme="minorHAnsi"/>
                <w:color w:val="000000"/>
                <w:lang w:val="sr-Latn-RS"/>
              </w:rPr>
            </w:pPr>
            <w:r w:rsidRPr="00F5183F">
              <w:rPr>
                <w:rFonts w:asciiTheme="minorHAnsi" w:hAnsiTheme="minorHAnsi" w:cstheme="minorHAnsi"/>
                <w:color w:val="000000"/>
                <w:lang w:val="sr-Latn-RS"/>
              </w:rPr>
              <w:t>Osnovni dodatak za pomoć i negu</w:t>
            </w:r>
          </w:p>
        </w:tc>
        <w:tc>
          <w:tcPr>
            <w:tcW w:w="504" w:type="pct"/>
            <w:tcBorders>
              <w:top w:val="single" w:sz="4" w:space="0" w:color="2F5496" w:themeColor="accent5" w:themeShade="BF"/>
              <w:left w:val="nil"/>
              <w:bottom w:val="nil"/>
              <w:right w:val="nil"/>
            </w:tcBorders>
            <w:shd w:val="clear" w:color="auto" w:fill="auto"/>
            <w:noWrap/>
            <w:vAlign w:val="bottom"/>
          </w:tcPr>
          <w:p w14:paraId="25B12353" w14:textId="02F6965C" w:rsidR="00C47F8C" w:rsidRPr="00F5183F" w:rsidRDefault="00D66EBA" w:rsidP="009C12F6">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68</w:t>
            </w:r>
          </w:p>
        </w:tc>
        <w:tc>
          <w:tcPr>
            <w:tcW w:w="576" w:type="pct"/>
            <w:tcBorders>
              <w:top w:val="single" w:sz="4" w:space="0" w:color="2F5496" w:themeColor="accent5" w:themeShade="BF"/>
              <w:left w:val="nil"/>
              <w:bottom w:val="nil"/>
              <w:right w:val="nil"/>
            </w:tcBorders>
            <w:shd w:val="clear" w:color="auto" w:fill="auto"/>
            <w:vAlign w:val="bottom"/>
          </w:tcPr>
          <w:p w14:paraId="044DB1F5" w14:textId="24B1693A" w:rsidR="00C47F8C" w:rsidRPr="00F5183F" w:rsidRDefault="00C47F8C" w:rsidP="009C12F6">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0,5</w:t>
            </w:r>
          </w:p>
        </w:tc>
        <w:tc>
          <w:tcPr>
            <w:tcW w:w="1007" w:type="pct"/>
            <w:tcBorders>
              <w:top w:val="nil"/>
              <w:left w:val="nil"/>
              <w:bottom w:val="nil"/>
              <w:right w:val="nil"/>
            </w:tcBorders>
            <w:shd w:val="clear" w:color="auto" w:fill="auto"/>
            <w:noWrap/>
            <w:vAlign w:val="bottom"/>
            <w:hideMark/>
          </w:tcPr>
          <w:p w14:paraId="33B0B396" w14:textId="7F93ACD2" w:rsidR="00C47F8C" w:rsidRPr="00F5183F" w:rsidRDefault="00C47F8C" w:rsidP="009C12F6">
            <w:pPr>
              <w:jc w:val="center"/>
              <w:rPr>
                <w:rFonts w:asciiTheme="minorHAnsi" w:hAnsiTheme="minorHAnsi" w:cstheme="minorHAnsi"/>
                <w:lang w:val="sr-Latn-RS"/>
              </w:rPr>
            </w:pPr>
            <w:r w:rsidRPr="00F5183F">
              <w:rPr>
                <w:rFonts w:asciiTheme="minorHAnsi" w:hAnsiTheme="minorHAnsi" w:cstheme="minorHAnsi"/>
                <w:lang w:val="sr-Latn-RS"/>
              </w:rPr>
              <w:t>0,2</w:t>
            </w:r>
          </w:p>
        </w:tc>
      </w:tr>
      <w:tr w:rsidR="00C47F8C" w:rsidRPr="00F5183F" w14:paraId="3A888EBE" w14:textId="77777777" w:rsidTr="005403B7">
        <w:trPr>
          <w:trHeight w:val="320"/>
          <w:jc w:val="center"/>
        </w:trPr>
        <w:tc>
          <w:tcPr>
            <w:tcW w:w="2913" w:type="pct"/>
            <w:tcBorders>
              <w:right w:val="nil"/>
            </w:tcBorders>
            <w:shd w:val="clear" w:color="000000" w:fill="FFFFFF"/>
            <w:vAlign w:val="center"/>
            <w:hideMark/>
          </w:tcPr>
          <w:p w14:paraId="4881E922" w14:textId="47C47208" w:rsidR="00C47F8C" w:rsidRPr="00F5183F" w:rsidRDefault="00C47F8C" w:rsidP="00C47F8C">
            <w:pPr>
              <w:rPr>
                <w:rFonts w:asciiTheme="minorHAnsi" w:hAnsiTheme="minorHAnsi" w:cstheme="minorHAnsi"/>
                <w:i/>
                <w:iCs/>
                <w:lang w:val="sr-Latn-RS"/>
              </w:rPr>
            </w:pPr>
            <w:r w:rsidRPr="00F5183F">
              <w:rPr>
                <w:rFonts w:asciiTheme="minorHAnsi" w:hAnsiTheme="minorHAnsi" w:cstheme="minorHAnsi"/>
                <w:i/>
                <w:iCs/>
                <w:lang w:val="sr-Latn-RS"/>
              </w:rPr>
              <w:t xml:space="preserve">0 - 17 </w:t>
            </w:r>
          </w:p>
        </w:tc>
        <w:tc>
          <w:tcPr>
            <w:tcW w:w="504" w:type="pct"/>
            <w:tcBorders>
              <w:top w:val="nil"/>
              <w:left w:val="nil"/>
              <w:bottom w:val="nil"/>
              <w:right w:val="nil"/>
            </w:tcBorders>
            <w:shd w:val="clear" w:color="000000" w:fill="FFFFFF"/>
            <w:noWrap/>
            <w:vAlign w:val="bottom"/>
          </w:tcPr>
          <w:p w14:paraId="53BF39EE" w14:textId="26A70397" w:rsidR="00C47F8C" w:rsidRPr="00F5183F" w:rsidRDefault="00C47F8C" w:rsidP="009C12F6">
            <w:pPr>
              <w:jc w:val="center"/>
              <w:rPr>
                <w:rFonts w:asciiTheme="minorHAnsi" w:hAnsiTheme="minorHAnsi" w:cstheme="minorHAnsi"/>
                <w:i/>
                <w:iCs/>
                <w:color w:val="000000"/>
                <w:lang w:val="sr-Latn-RS"/>
              </w:rPr>
            </w:pPr>
            <w:r w:rsidRPr="00F5183F">
              <w:rPr>
                <w:rFonts w:asciiTheme="minorHAnsi" w:hAnsiTheme="minorHAnsi" w:cstheme="minorHAnsi"/>
                <w:i/>
                <w:iCs/>
                <w:color w:val="000000"/>
                <w:lang w:val="sr-Latn-RS"/>
              </w:rPr>
              <w:t>18</w:t>
            </w:r>
          </w:p>
        </w:tc>
        <w:tc>
          <w:tcPr>
            <w:tcW w:w="576" w:type="pct"/>
            <w:tcBorders>
              <w:top w:val="nil"/>
              <w:left w:val="nil"/>
              <w:bottom w:val="nil"/>
              <w:right w:val="nil"/>
            </w:tcBorders>
            <w:shd w:val="clear" w:color="000000" w:fill="FFFFFF"/>
            <w:vAlign w:val="bottom"/>
          </w:tcPr>
          <w:p w14:paraId="3AD99E76" w14:textId="451E9011" w:rsidR="00C47F8C" w:rsidRPr="00F5183F" w:rsidRDefault="00C47F8C" w:rsidP="009C12F6">
            <w:pPr>
              <w:jc w:val="center"/>
              <w:rPr>
                <w:rFonts w:asciiTheme="minorHAnsi" w:hAnsiTheme="minorHAnsi" w:cstheme="minorHAnsi"/>
                <w:i/>
                <w:iCs/>
                <w:color w:val="000000"/>
                <w:lang w:val="sr-Latn-RS"/>
              </w:rPr>
            </w:pPr>
            <w:r w:rsidRPr="00F5183F">
              <w:rPr>
                <w:rFonts w:asciiTheme="minorHAnsi" w:hAnsiTheme="minorHAnsi" w:cstheme="minorHAnsi"/>
                <w:i/>
                <w:iCs/>
                <w:color w:val="000000"/>
                <w:lang w:val="sr-Latn-RS"/>
              </w:rPr>
              <w:t>0,9</w:t>
            </w:r>
          </w:p>
        </w:tc>
        <w:tc>
          <w:tcPr>
            <w:tcW w:w="1007" w:type="pct"/>
            <w:tcBorders>
              <w:top w:val="nil"/>
              <w:left w:val="nil"/>
              <w:bottom w:val="nil"/>
              <w:right w:val="nil"/>
            </w:tcBorders>
            <w:shd w:val="clear" w:color="000000" w:fill="FFFFFF"/>
            <w:noWrap/>
            <w:vAlign w:val="bottom"/>
            <w:hideMark/>
          </w:tcPr>
          <w:p w14:paraId="49A0D7EE" w14:textId="79530D7D" w:rsidR="00C47F8C" w:rsidRPr="00F5183F" w:rsidRDefault="00C47F8C" w:rsidP="009C12F6">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0,3</w:t>
            </w:r>
          </w:p>
        </w:tc>
      </w:tr>
      <w:tr w:rsidR="00C47F8C" w:rsidRPr="00F5183F" w14:paraId="713C6B03" w14:textId="77777777" w:rsidTr="005403B7">
        <w:trPr>
          <w:trHeight w:val="340"/>
          <w:jc w:val="center"/>
        </w:trPr>
        <w:tc>
          <w:tcPr>
            <w:tcW w:w="2913" w:type="pct"/>
            <w:tcBorders>
              <w:top w:val="nil"/>
              <w:bottom w:val="nil"/>
              <w:right w:val="nil"/>
            </w:tcBorders>
            <w:shd w:val="clear" w:color="000000" w:fill="FFFFFF"/>
            <w:vAlign w:val="center"/>
            <w:hideMark/>
          </w:tcPr>
          <w:p w14:paraId="23D8DB3A" w14:textId="7C831BA3" w:rsidR="00C47F8C" w:rsidRPr="00F5183F" w:rsidRDefault="00C47F8C" w:rsidP="00C47F8C">
            <w:pPr>
              <w:rPr>
                <w:rFonts w:asciiTheme="minorHAnsi" w:hAnsiTheme="minorHAnsi" w:cstheme="minorHAnsi"/>
                <w:i/>
                <w:iCs/>
                <w:lang w:val="sr-Latn-RS"/>
              </w:rPr>
            </w:pPr>
            <w:r w:rsidRPr="00F5183F">
              <w:rPr>
                <w:rFonts w:asciiTheme="minorHAnsi" w:hAnsiTheme="minorHAnsi" w:cstheme="minorHAnsi"/>
                <w:i/>
                <w:iCs/>
                <w:lang w:val="sr-Latn-RS"/>
              </w:rPr>
              <w:t xml:space="preserve">18-64 </w:t>
            </w:r>
          </w:p>
        </w:tc>
        <w:tc>
          <w:tcPr>
            <w:tcW w:w="504" w:type="pct"/>
            <w:tcBorders>
              <w:top w:val="nil"/>
              <w:left w:val="nil"/>
              <w:bottom w:val="nil"/>
              <w:right w:val="nil"/>
            </w:tcBorders>
            <w:shd w:val="clear" w:color="000000" w:fill="FFFFFF"/>
            <w:noWrap/>
            <w:vAlign w:val="bottom"/>
          </w:tcPr>
          <w:p w14:paraId="653544C6" w14:textId="1C7FEF35" w:rsidR="00C47F8C" w:rsidRPr="00F5183F" w:rsidRDefault="00D66EBA" w:rsidP="009C12F6">
            <w:pPr>
              <w:jc w:val="center"/>
              <w:rPr>
                <w:rFonts w:asciiTheme="minorHAnsi" w:hAnsiTheme="minorHAnsi" w:cstheme="minorHAnsi"/>
                <w:i/>
                <w:iCs/>
                <w:color w:val="000000"/>
                <w:lang w:val="sr-Latn-RS"/>
              </w:rPr>
            </w:pPr>
            <w:r w:rsidRPr="00F5183F">
              <w:rPr>
                <w:rFonts w:asciiTheme="minorHAnsi" w:hAnsiTheme="minorHAnsi" w:cstheme="minorHAnsi"/>
                <w:i/>
                <w:iCs/>
                <w:color w:val="000000"/>
                <w:lang w:val="sr-Latn-RS"/>
              </w:rPr>
              <w:t>17</w:t>
            </w:r>
          </w:p>
        </w:tc>
        <w:tc>
          <w:tcPr>
            <w:tcW w:w="576" w:type="pct"/>
            <w:tcBorders>
              <w:top w:val="nil"/>
              <w:left w:val="nil"/>
              <w:bottom w:val="nil"/>
              <w:right w:val="nil"/>
            </w:tcBorders>
            <w:shd w:val="clear" w:color="000000" w:fill="FFFFFF"/>
            <w:vAlign w:val="bottom"/>
          </w:tcPr>
          <w:p w14:paraId="515F0F7E" w14:textId="4089B1C8" w:rsidR="00C47F8C" w:rsidRPr="00F5183F" w:rsidRDefault="00C47F8C" w:rsidP="009C12F6">
            <w:pPr>
              <w:jc w:val="center"/>
              <w:rPr>
                <w:rFonts w:asciiTheme="minorHAnsi" w:hAnsiTheme="minorHAnsi" w:cstheme="minorHAnsi"/>
                <w:i/>
                <w:iCs/>
                <w:color w:val="000000"/>
                <w:lang w:val="sr-Latn-RS"/>
              </w:rPr>
            </w:pPr>
            <w:r w:rsidRPr="00F5183F">
              <w:rPr>
                <w:rFonts w:asciiTheme="minorHAnsi" w:hAnsiTheme="minorHAnsi" w:cstheme="minorHAnsi"/>
                <w:i/>
                <w:iCs/>
                <w:color w:val="000000"/>
                <w:lang w:val="sr-Latn-RS"/>
              </w:rPr>
              <w:t>0,2</w:t>
            </w:r>
          </w:p>
        </w:tc>
        <w:tc>
          <w:tcPr>
            <w:tcW w:w="1007" w:type="pct"/>
            <w:tcBorders>
              <w:top w:val="nil"/>
              <w:left w:val="nil"/>
              <w:bottom w:val="nil"/>
              <w:right w:val="nil"/>
            </w:tcBorders>
            <w:shd w:val="clear" w:color="000000" w:fill="FFFFFF"/>
            <w:noWrap/>
            <w:vAlign w:val="bottom"/>
            <w:hideMark/>
          </w:tcPr>
          <w:p w14:paraId="46E2434B" w14:textId="72F0691F" w:rsidR="00C47F8C" w:rsidRPr="00F5183F" w:rsidRDefault="00C47F8C" w:rsidP="009C12F6">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0,1</w:t>
            </w:r>
          </w:p>
        </w:tc>
      </w:tr>
      <w:tr w:rsidR="00C47F8C" w:rsidRPr="00F5183F" w14:paraId="1F38F46C" w14:textId="77777777" w:rsidTr="005403B7">
        <w:trPr>
          <w:trHeight w:val="320"/>
          <w:jc w:val="center"/>
        </w:trPr>
        <w:tc>
          <w:tcPr>
            <w:tcW w:w="2913" w:type="pct"/>
            <w:tcBorders>
              <w:top w:val="nil"/>
              <w:left w:val="nil"/>
              <w:bottom w:val="nil"/>
              <w:right w:val="nil"/>
            </w:tcBorders>
            <w:shd w:val="clear" w:color="000000" w:fill="FFFFFF"/>
            <w:vAlign w:val="center"/>
            <w:hideMark/>
          </w:tcPr>
          <w:p w14:paraId="35E238F8" w14:textId="5E88A6EE" w:rsidR="00C47F8C" w:rsidRPr="00F5183F" w:rsidRDefault="00C47F8C" w:rsidP="00C47F8C">
            <w:pPr>
              <w:rPr>
                <w:rFonts w:asciiTheme="minorHAnsi" w:hAnsiTheme="minorHAnsi" w:cstheme="minorHAnsi"/>
                <w:i/>
                <w:iCs/>
                <w:lang w:val="sr-Latn-RS"/>
              </w:rPr>
            </w:pPr>
            <w:r w:rsidRPr="00F5183F">
              <w:rPr>
                <w:rFonts w:asciiTheme="minorHAnsi" w:hAnsiTheme="minorHAnsi" w:cstheme="minorHAnsi"/>
                <w:i/>
                <w:iCs/>
                <w:lang w:val="sr-Latn-RS"/>
              </w:rPr>
              <w:t xml:space="preserve">65+ </w:t>
            </w:r>
          </w:p>
        </w:tc>
        <w:tc>
          <w:tcPr>
            <w:tcW w:w="504" w:type="pct"/>
            <w:tcBorders>
              <w:top w:val="nil"/>
              <w:left w:val="nil"/>
              <w:bottom w:val="nil"/>
              <w:right w:val="nil"/>
            </w:tcBorders>
            <w:shd w:val="clear" w:color="000000" w:fill="FFFFFF"/>
            <w:noWrap/>
            <w:vAlign w:val="bottom"/>
          </w:tcPr>
          <w:p w14:paraId="39278EF7" w14:textId="2A418BF0" w:rsidR="00C47F8C" w:rsidRPr="00F5183F" w:rsidRDefault="00D66EBA" w:rsidP="009C12F6">
            <w:pPr>
              <w:jc w:val="center"/>
              <w:rPr>
                <w:rFonts w:asciiTheme="minorHAnsi" w:hAnsiTheme="minorHAnsi" w:cstheme="minorHAnsi"/>
                <w:i/>
                <w:iCs/>
                <w:color w:val="000000"/>
                <w:lang w:val="sr-Latn-RS"/>
              </w:rPr>
            </w:pPr>
            <w:r w:rsidRPr="00F5183F">
              <w:rPr>
                <w:rFonts w:asciiTheme="minorHAnsi" w:hAnsiTheme="minorHAnsi" w:cstheme="minorHAnsi"/>
                <w:i/>
                <w:iCs/>
                <w:color w:val="000000"/>
                <w:lang w:val="sr-Latn-RS"/>
              </w:rPr>
              <w:t>33</w:t>
            </w:r>
          </w:p>
        </w:tc>
        <w:tc>
          <w:tcPr>
            <w:tcW w:w="576" w:type="pct"/>
            <w:tcBorders>
              <w:top w:val="nil"/>
              <w:left w:val="nil"/>
              <w:bottom w:val="nil"/>
              <w:right w:val="nil"/>
            </w:tcBorders>
            <w:shd w:val="clear" w:color="000000" w:fill="FFFFFF"/>
            <w:vAlign w:val="bottom"/>
          </w:tcPr>
          <w:p w14:paraId="42B044B5" w14:textId="7D762077" w:rsidR="00C47F8C" w:rsidRPr="00F5183F" w:rsidRDefault="00C47F8C" w:rsidP="009C12F6">
            <w:pPr>
              <w:jc w:val="center"/>
              <w:rPr>
                <w:rFonts w:asciiTheme="minorHAnsi" w:hAnsiTheme="minorHAnsi" w:cstheme="minorHAnsi"/>
                <w:i/>
                <w:iCs/>
                <w:color w:val="000000"/>
                <w:lang w:val="sr-Latn-RS"/>
              </w:rPr>
            </w:pPr>
            <w:r w:rsidRPr="00F5183F">
              <w:rPr>
                <w:rFonts w:asciiTheme="minorHAnsi" w:hAnsiTheme="minorHAnsi" w:cstheme="minorHAnsi"/>
                <w:i/>
                <w:iCs/>
                <w:color w:val="000000"/>
                <w:lang w:val="sr-Latn-RS"/>
              </w:rPr>
              <w:t>1,3</w:t>
            </w:r>
          </w:p>
        </w:tc>
        <w:tc>
          <w:tcPr>
            <w:tcW w:w="1007" w:type="pct"/>
            <w:tcBorders>
              <w:top w:val="nil"/>
              <w:left w:val="nil"/>
              <w:bottom w:val="nil"/>
              <w:right w:val="nil"/>
            </w:tcBorders>
            <w:shd w:val="clear" w:color="000000" w:fill="FFFFFF"/>
            <w:noWrap/>
            <w:vAlign w:val="bottom"/>
            <w:hideMark/>
          </w:tcPr>
          <w:p w14:paraId="7F489995" w14:textId="21644A75" w:rsidR="00C47F8C" w:rsidRPr="00F5183F" w:rsidRDefault="00C47F8C" w:rsidP="009C12F6">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0,4</w:t>
            </w:r>
          </w:p>
        </w:tc>
      </w:tr>
      <w:tr w:rsidR="00C47F8C" w:rsidRPr="00F5183F" w14:paraId="2914D2E8" w14:textId="77777777" w:rsidTr="005403B7">
        <w:trPr>
          <w:trHeight w:val="420"/>
          <w:jc w:val="center"/>
        </w:trPr>
        <w:tc>
          <w:tcPr>
            <w:tcW w:w="2913" w:type="pct"/>
            <w:tcBorders>
              <w:top w:val="nil"/>
              <w:left w:val="nil"/>
              <w:bottom w:val="single" w:sz="8" w:space="0" w:color="1F4E78"/>
              <w:right w:val="nil"/>
            </w:tcBorders>
            <w:shd w:val="clear" w:color="000000" w:fill="FFFFFF"/>
            <w:vAlign w:val="center"/>
            <w:hideMark/>
          </w:tcPr>
          <w:p w14:paraId="6705A07C" w14:textId="77777777" w:rsidR="00C47F8C" w:rsidRPr="00F5183F" w:rsidRDefault="00C47F8C" w:rsidP="00C47F8C">
            <w:pPr>
              <w:rPr>
                <w:rFonts w:asciiTheme="minorHAnsi" w:hAnsiTheme="minorHAnsi" w:cstheme="minorHAnsi"/>
                <w:lang w:val="sr-Latn-RS"/>
              </w:rPr>
            </w:pPr>
            <w:r w:rsidRPr="00F5183F">
              <w:rPr>
                <w:rFonts w:asciiTheme="minorHAnsi" w:hAnsiTheme="minorHAnsi" w:cstheme="minorHAnsi"/>
                <w:lang w:val="sr-Latn-RS"/>
              </w:rPr>
              <w:t>Uvećani dodatak za pomoć i negu</w:t>
            </w:r>
          </w:p>
        </w:tc>
        <w:tc>
          <w:tcPr>
            <w:tcW w:w="504" w:type="pct"/>
            <w:tcBorders>
              <w:top w:val="nil"/>
              <w:left w:val="nil"/>
              <w:bottom w:val="single" w:sz="8" w:space="0" w:color="1F4E78"/>
              <w:right w:val="nil"/>
            </w:tcBorders>
            <w:shd w:val="clear" w:color="auto" w:fill="auto"/>
            <w:noWrap/>
            <w:vAlign w:val="bottom"/>
          </w:tcPr>
          <w:p w14:paraId="730BE4E5" w14:textId="2CF1D6D5" w:rsidR="00C47F8C" w:rsidRPr="00F5183F" w:rsidRDefault="00D66EBA" w:rsidP="009C12F6">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91</w:t>
            </w:r>
          </w:p>
        </w:tc>
        <w:tc>
          <w:tcPr>
            <w:tcW w:w="576" w:type="pct"/>
            <w:tcBorders>
              <w:top w:val="nil"/>
              <w:left w:val="nil"/>
              <w:bottom w:val="single" w:sz="8" w:space="0" w:color="1F4E78"/>
              <w:right w:val="nil"/>
            </w:tcBorders>
            <w:shd w:val="clear" w:color="auto" w:fill="auto"/>
            <w:vAlign w:val="bottom"/>
          </w:tcPr>
          <w:p w14:paraId="5DEA994D" w14:textId="37C87B21" w:rsidR="00C47F8C" w:rsidRPr="00F5183F" w:rsidRDefault="00C47F8C" w:rsidP="009C12F6">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0,7</w:t>
            </w:r>
          </w:p>
        </w:tc>
        <w:tc>
          <w:tcPr>
            <w:tcW w:w="1007" w:type="pct"/>
            <w:tcBorders>
              <w:top w:val="nil"/>
              <w:left w:val="nil"/>
              <w:bottom w:val="single" w:sz="8" w:space="0" w:color="1F4E78"/>
              <w:right w:val="nil"/>
            </w:tcBorders>
            <w:shd w:val="clear" w:color="auto" w:fill="auto"/>
            <w:noWrap/>
            <w:vAlign w:val="bottom"/>
            <w:hideMark/>
          </w:tcPr>
          <w:p w14:paraId="0C07FA2A" w14:textId="6DF62DD2" w:rsidR="00C47F8C" w:rsidRPr="00F5183F" w:rsidRDefault="00C47F8C" w:rsidP="009C12F6">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0,5</w:t>
            </w:r>
          </w:p>
        </w:tc>
      </w:tr>
    </w:tbl>
    <w:p w14:paraId="0FFF19BE" w14:textId="53736ED1" w:rsidR="00AB4B59" w:rsidRPr="00F5183F" w:rsidRDefault="006C0BFA" w:rsidP="005403B7">
      <w:pPr>
        <w:rPr>
          <w:rFonts w:asciiTheme="minorHAnsi" w:hAnsiTheme="minorHAnsi"/>
          <w:sz w:val="18"/>
          <w:szCs w:val="18"/>
          <w:lang w:val="sr-Latn-RS"/>
        </w:rPr>
      </w:pPr>
      <w:r w:rsidRPr="00F5183F">
        <w:rPr>
          <w:rFonts w:asciiTheme="minorHAnsi" w:hAnsiTheme="minorHAnsi"/>
          <w:sz w:val="18"/>
          <w:szCs w:val="18"/>
          <w:lang w:val="sr-Latn-RS"/>
        </w:rPr>
        <w:t xml:space="preserve">Izvor: </w:t>
      </w:r>
      <w:r w:rsidR="006168DD" w:rsidRPr="00F5183F">
        <w:rPr>
          <w:rFonts w:asciiTheme="minorHAnsi" w:hAnsiTheme="minorHAnsi"/>
          <w:sz w:val="18"/>
          <w:szCs w:val="18"/>
          <w:lang w:val="sr-Latn-RS"/>
        </w:rPr>
        <w:t>DevInfo</w:t>
      </w:r>
      <w:r w:rsidR="00EB18B0" w:rsidRPr="00F5183F">
        <w:rPr>
          <w:rFonts w:asciiTheme="minorHAnsi" w:hAnsiTheme="minorHAnsi"/>
          <w:sz w:val="18"/>
          <w:szCs w:val="18"/>
          <w:lang w:val="sr-Latn-RS"/>
        </w:rPr>
        <w:t>, RZS</w:t>
      </w:r>
    </w:p>
    <w:p w14:paraId="7BD5741F" w14:textId="77777777" w:rsidR="00D546B0" w:rsidRPr="00F5183F" w:rsidRDefault="00D546B0" w:rsidP="006C0BFA">
      <w:pPr>
        <w:ind w:left="720" w:firstLine="720"/>
        <w:rPr>
          <w:rFonts w:asciiTheme="minorHAnsi" w:hAnsiTheme="minorHAnsi"/>
          <w:sz w:val="18"/>
          <w:szCs w:val="18"/>
          <w:lang w:val="sr-Latn-RS"/>
        </w:rPr>
      </w:pPr>
    </w:p>
    <w:p w14:paraId="3D034CC8" w14:textId="021491A3" w:rsidR="0050674A" w:rsidRPr="00F5183F" w:rsidRDefault="009A62D0" w:rsidP="0050674A">
      <w:pPr>
        <w:pBdr>
          <w:top w:val="single" w:sz="4" w:space="0" w:color="auto" w:shadow="1"/>
          <w:left w:val="single" w:sz="4" w:space="0" w:color="auto" w:shadow="1"/>
          <w:bottom w:val="single" w:sz="4" w:space="0" w:color="auto" w:shadow="1"/>
          <w:right w:val="single" w:sz="4" w:space="4" w:color="auto" w:shadow="1"/>
        </w:pBdr>
        <w:rPr>
          <w:rFonts w:asciiTheme="minorHAnsi" w:hAnsiTheme="minorHAnsi"/>
          <w:b/>
          <w:smallCaps/>
          <w:lang w:val="sr-Latn-RS"/>
        </w:rPr>
      </w:pPr>
      <w:r w:rsidRPr="00F5183F">
        <w:rPr>
          <w:rFonts w:asciiTheme="minorHAnsi" w:hAnsiTheme="minorHAnsi"/>
          <w:b/>
          <w:smallCaps/>
          <w:lang w:val="sr-Latn-RS"/>
        </w:rPr>
        <w:t>Bo</w:t>
      </w:r>
      <w:r w:rsidR="00F516B7" w:rsidRPr="00F5183F">
        <w:rPr>
          <w:rFonts w:asciiTheme="minorHAnsi" w:hAnsiTheme="minorHAnsi"/>
          <w:b/>
          <w:smallCaps/>
          <w:lang w:val="sr-Latn-RS"/>
        </w:rPr>
        <w:t>ks</w:t>
      </w:r>
      <w:r w:rsidRPr="00F5183F">
        <w:rPr>
          <w:rFonts w:asciiTheme="minorHAnsi" w:hAnsiTheme="minorHAnsi"/>
          <w:b/>
          <w:smallCaps/>
          <w:lang w:val="sr-Latn-RS"/>
        </w:rPr>
        <w:t xml:space="preserve"> </w:t>
      </w:r>
      <w:r w:rsidR="00F910D8" w:rsidRPr="00F5183F">
        <w:rPr>
          <w:rFonts w:asciiTheme="minorHAnsi" w:hAnsiTheme="minorHAnsi"/>
          <w:b/>
          <w:smallCaps/>
          <w:lang w:val="sr-Latn-RS"/>
        </w:rPr>
        <w:t>3</w:t>
      </w:r>
      <w:r w:rsidRPr="00F5183F">
        <w:rPr>
          <w:rFonts w:asciiTheme="minorHAnsi" w:hAnsiTheme="minorHAnsi"/>
          <w:b/>
          <w:smallCaps/>
          <w:lang w:val="sr-Latn-RS"/>
        </w:rPr>
        <w:t xml:space="preserve">. </w:t>
      </w:r>
      <w:r w:rsidR="00785160" w:rsidRPr="00F5183F">
        <w:rPr>
          <w:rFonts w:asciiTheme="minorHAnsi" w:hAnsiTheme="minorHAnsi"/>
          <w:b/>
          <w:smallCaps/>
          <w:lang w:val="sr-Latn-RS"/>
        </w:rPr>
        <w:t xml:space="preserve">NEDOSTACI ANALIZE OBUHVATA  PROGRAMOM DODATKA I UVEĆANOG DODATKA ZA POMOĆ I NEGU NA LOKALNOM NIVOU </w:t>
      </w:r>
    </w:p>
    <w:p w14:paraId="5D3CAA73" w14:textId="77777777" w:rsidR="0050674A" w:rsidRPr="00F5183F" w:rsidRDefault="0050674A" w:rsidP="0050674A">
      <w:pPr>
        <w:pBdr>
          <w:top w:val="single" w:sz="4" w:space="0" w:color="auto" w:shadow="1"/>
          <w:left w:val="single" w:sz="4" w:space="0" w:color="auto" w:shadow="1"/>
          <w:bottom w:val="single" w:sz="4" w:space="0" w:color="auto" w:shadow="1"/>
          <w:right w:val="single" w:sz="4" w:space="4" w:color="auto" w:shadow="1"/>
        </w:pBdr>
        <w:rPr>
          <w:rFonts w:asciiTheme="minorHAnsi" w:hAnsiTheme="minorHAnsi"/>
          <w:b/>
          <w:smallCaps/>
          <w:lang w:val="sr-Latn-RS"/>
        </w:rPr>
      </w:pPr>
    </w:p>
    <w:p w14:paraId="118505EF" w14:textId="28D4039F" w:rsidR="009A62D0" w:rsidRPr="00F5183F" w:rsidRDefault="0050674A" w:rsidP="0050674A">
      <w:pPr>
        <w:pBdr>
          <w:top w:val="single" w:sz="4" w:space="0" w:color="auto" w:shadow="1"/>
          <w:left w:val="single" w:sz="4" w:space="0" w:color="auto" w:shadow="1"/>
          <w:bottom w:val="single" w:sz="4" w:space="0" w:color="auto" w:shadow="1"/>
          <w:right w:val="single" w:sz="4" w:space="4" w:color="auto" w:shadow="1"/>
        </w:pBdr>
        <w:rPr>
          <w:rFonts w:asciiTheme="minorHAnsi" w:hAnsiTheme="minorHAnsi"/>
          <w:b/>
          <w:smallCaps/>
          <w:lang w:val="sr-Latn-RS"/>
        </w:rPr>
      </w:pPr>
      <w:r w:rsidRPr="00F5183F">
        <w:rPr>
          <w:rFonts w:asciiTheme="minorHAnsi" w:hAnsiTheme="minorHAnsi" w:cstheme="minorHAnsi"/>
          <w:lang w:val="sr-Latn-RS"/>
        </w:rPr>
        <w:t xml:space="preserve">Za dobijanje potpune slike o obuhvatu ranjivih grupa kojima je neophodna pomoć drugog lica radi obavljanja svakodnevnih aktivnosti neophodno je da se prikupe i  podaci o naknadi za pomoć i negu na koju imaju pravo osigurana lica i penzioneri.  U DevInfo bazi podataka ovi podaci nisu dostupni. U Republici Srbiji je broj korisnika naknade čak nešto veći od </w:t>
      </w:r>
      <w:r w:rsidR="002004DE" w:rsidRPr="00F5183F">
        <w:rPr>
          <w:rFonts w:asciiTheme="minorHAnsi" w:hAnsiTheme="minorHAnsi" w:cstheme="minorHAnsi"/>
          <w:lang w:val="sr-Latn-RS"/>
        </w:rPr>
        <w:t>zbira</w:t>
      </w:r>
      <w:r w:rsidRPr="00F5183F">
        <w:rPr>
          <w:rFonts w:asciiTheme="minorHAnsi" w:hAnsiTheme="minorHAnsi" w:cstheme="minorHAnsi"/>
          <w:lang w:val="sr-Latn-RS"/>
        </w:rPr>
        <w:t xml:space="preserve"> korisnika dodatka i uvećanog dodatka za pomoć i negu.</w:t>
      </w:r>
    </w:p>
    <w:p w14:paraId="612FF41B" w14:textId="77777777" w:rsidR="009A62D0" w:rsidRPr="00F5183F" w:rsidRDefault="009A62D0" w:rsidP="0050674A">
      <w:pPr>
        <w:pBdr>
          <w:top w:val="single" w:sz="4" w:space="0" w:color="auto" w:shadow="1"/>
          <w:left w:val="single" w:sz="4" w:space="0" w:color="auto" w:shadow="1"/>
          <w:bottom w:val="single" w:sz="4" w:space="0" w:color="auto" w:shadow="1"/>
          <w:right w:val="single" w:sz="4" w:space="4" w:color="auto" w:shadow="1"/>
        </w:pBdr>
        <w:jc w:val="both"/>
        <w:rPr>
          <w:rFonts w:asciiTheme="minorHAnsi" w:hAnsiTheme="minorHAnsi"/>
          <w:sz w:val="10"/>
          <w:szCs w:val="10"/>
          <w:lang w:val="sr-Latn-RS"/>
        </w:rPr>
      </w:pPr>
    </w:p>
    <w:p w14:paraId="488B4D0A" w14:textId="77777777" w:rsidR="00AB4B59" w:rsidRPr="00F5183F" w:rsidRDefault="00AB4B59" w:rsidP="00C8228A">
      <w:pPr>
        <w:rPr>
          <w:rFonts w:asciiTheme="minorHAnsi" w:hAnsiTheme="minorHAnsi"/>
          <w:i/>
          <w:highlight w:val="green"/>
          <w:u w:val="single"/>
          <w:lang w:val="sr-Latn-RS"/>
        </w:rPr>
      </w:pPr>
    </w:p>
    <w:p w14:paraId="1A248428" w14:textId="7583D2B3" w:rsidR="00B0726C" w:rsidRPr="00F5183F" w:rsidRDefault="00EB1ADD" w:rsidP="00690793">
      <w:pPr>
        <w:jc w:val="both"/>
        <w:rPr>
          <w:rFonts w:asciiTheme="minorHAnsi" w:hAnsiTheme="minorHAnsi" w:cstheme="minorHAnsi"/>
          <w:bCs/>
          <w:iCs/>
          <w:lang w:val="sr-Latn-RS"/>
        </w:rPr>
      </w:pPr>
      <w:r w:rsidRPr="00F5183F">
        <w:rPr>
          <w:rFonts w:asciiTheme="minorHAnsi" w:hAnsiTheme="minorHAnsi" w:cstheme="minorHAnsi"/>
          <w:bCs/>
          <w:iCs/>
          <w:lang w:val="sr-Latn-RS"/>
        </w:rPr>
        <w:t>Na smeštaju se nalazi 17 dece</w:t>
      </w:r>
      <w:r w:rsidR="006A73B9" w:rsidRPr="00F5183F">
        <w:rPr>
          <w:rFonts w:asciiTheme="minorHAnsi" w:hAnsiTheme="minorHAnsi" w:cstheme="minorHAnsi"/>
          <w:bCs/>
          <w:iCs/>
          <w:lang w:val="sr-Latn-RS"/>
        </w:rPr>
        <w:t xml:space="preserve"> iz op</w:t>
      </w:r>
      <w:r w:rsidR="00F16F82" w:rsidRPr="00F5183F">
        <w:rPr>
          <w:rFonts w:asciiTheme="minorHAnsi" w:hAnsiTheme="minorHAnsi" w:cstheme="minorHAnsi"/>
          <w:bCs/>
          <w:iCs/>
          <w:lang w:val="sr-Latn-RS"/>
        </w:rPr>
        <w:t>š</w:t>
      </w:r>
      <w:r w:rsidR="006A73B9" w:rsidRPr="00F5183F">
        <w:rPr>
          <w:rFonts w:asciiTheme="minorHAnsi" w:hAnsiTheme="minorHAnsi" w:cstheme="minorHAnsi"/>
          <w:bCs/>
          <w:iCs/>
          <w:lang w:val="sr-Latn-RS"/>
        </w:rPr>
        <w:t>tine Ba</w:t>
      </w:r>
      <w:r w:rsidR="00F16F82" w:rsidRPr="00F5183F">
        <w:rPr>
          <w:rFonts w:asciiTheme="minorHAnsi" w:hAnsiTheme="minorHAnsi" w:cstheme="minorHAnsi"/>
          <w:bCs/>
          <w:iCs/>
          <w:lang w:val="sr-Latn-RS"/>
        </w:rPr>
        <w:t>č</w:t>
      </w:r>
      <w:r w:rsidRPr="00F5183F">
        <w:rPr>
          <w:rFonts w:asciiTheme="minorHAnsi" w:hAnsiTheme="minorHAnsi" w:cstheme="minorHAnsi"/>
          <w:bCs/>
          <w:iCs/>
          <w:lang w:val="sr-Latn-RS"/>
        </w:rPr>
        <w:t xml:space="preserve">. </w:t>
      </w:r>
      <w:r w:rsidR="00F910D8" w:rsidRPr="00F5183F">
        <w:rPr>
          <w:rFonts w:asciiTheme="minorHAnsi" w:hAnsiTheme="minorHAnsi" w:cstheme="minorHAnsi"/>
          <w:bCs/>
          <w:iCs/>
          <w:lang w:val="sr-Latn-RS"/>
        </w:rPr>
        <w:t xml:space="preserve">U institucijama je </w:t>
      </w:r>
      <w:r w:rsidRPr="00F5183F">
        <w:rPr>
          <w:rFonts w:asciiTheme="minorHAnsi" w:hAnsiTheme="minorHAnsi" w:cstheme="minorHAnsi"/>
          <w:bCs/>
          <w:iCs/>
          <w:lang w:val="sr-Latn-RS"/>
        </w:rPr>
        <w:t>troje dece, od kojih je jedno dete sa inval</w:t>
      </w:r>
      <w:r w:rsidR="00C41F83" w:rsidRPr="00F5183F">
        <w:rPr>
          <w:rFonts w:asciiTheme="minorHAnsi" w:hAnsiTheme="minorHAnsi" w:cstheme="minorHAnsi"/>
          <w:bCs/>
          <w:iCs/>
          <w:lang w:val="sr-Latn-RS"/>
        </w:rPr>
        <w:t>i</w:t>
      </w:r>
      <w:r w:rsidRPr="00F5183F">
        <w:rPr>
          <w:rFonts w:asciiTheme="minorHAnsi" w:hAnsiTheme="minorHAnsi" w:cstheme="minorHAnsi"/>
          <w:bCs/>
          <w:iCs/>
          <w:lang w:val="sr-Latn-RS"/>
        </w:rPr>
        <w:t xml:space="preserve">ditetom. </w:t>
      </w:r>
      <w:r w:rsidR="007A5C4F" w:rsidRPr="00F5183F">
        <w:rPr>
          <w:rFonts w:asciiTheme="minorHAnsi" w:hAnsiTheme="minorHAnsi" w:cstheme="minorHAnsi"/>
          <w:b/>
          <w:i/>
          <w:lang w:val="sr-Latn-RS"/>
        </w:rPr>
        <w:t>Stopa dece koja koriste uslugu smeštaja je ne</w:t>
      </w:r>
      <w:r w:rsidR="00ED26B8" w:rsidRPr="00F5183F">
        <w:rPr>
          <w:rFonts w:asciiTheme="minorHAnsi" w:hAnsiTheme="minorHAnsi" w:cstheme="minorHAnsi"/>
          <w:b/>
          <w:i/>
          <w:lang w:val="sr-Latn-RS"/>
        </w:rPr>
        <w:t>š</w:t>
      </w:r>
      <w:r w:rsidR="007A5C4F" w:rsidRPr="00F5183F">
        <w:rPr>
          <w:rFonts w:asciiTheme="minorHAnsi" w:hAnsiTheme="minorHAnsi" w:cstheme="minorHAnsi"/>
          <w:b/>
          <w:i/>
          <w:lang w:val="sr-Latn-RS"/>
        </w:rPr>
        <w:t xml:space="preserve">to veća od proseka </w:t>
      </w:r>
      <w:r w:rsidR="00690793" w:rsidRPr="00F5183F">
        <w:rPr>
          <w:rFonts w:asciiTheme="minorHAnsi" w:hAnsiTheme="minorHAnsi" w:cstheme="minorHAnsi"/>
          <w:lang w:val="sr-Latn-RS"/>
        </w:rPr>
        <w:t>Srbije</w:t>
      </w:r>
      <w:r w:rsidR="007A5C4F" w:rsidRPr="00F5183F">
        <w:rPr>
          <w:rFonts w:asciiTheme="minorHAnsi" w:hAnsiTheme="minorHAnsi" w:cstheme="minorHAnsi"/>
          <w:lang w:val="sr-Latn-RS"/>
        </w:rPr>
        <w:t>.</w:t>
      </w:r>
    </w:p>
    <w:p w14:paraId="0453B3C7" w14:textId="77777777" w:rsidR="00B0726C" w:rsidRPr="00F5183F" w:rsidRDefault="00B0726C" w:rsidP="00C8228A">
      <w:pPr>
        <w:rPr>
          <w:rFonts w:asciiTheme="minorHAnsi" w:hAnsiTheme="minorHAnsi" w:cstheme="minorHAnsi"/>
          <w:i/>
          <w:u w:val="single"/>
          <w:lang w:val="sr-Latn-RS"/>
        </w:rPr>
      </w:pPr>
    </w:p>
    <w:p w14:paraId="7E5A2BCB" w14:textId="38A3E74D" w:rsidR="003A43E3" w:rsidRPr="00F5183F" w:rsidRDefault="00001AF1" w:rsidP="00C8228A">
      <w:pPr>
        <w:rPr>
          <w:rFonts w:asciiTheme="minorHAnsi" w:hAnsiTheme="minorHAnsi" w:cstheme="minorHAnsi"/>
          <w:bCs/>
          <w:lang w:val="sr-Latn-RS"/>
        </w:rPr>
      </w:pPr>
      <w:r w:rsidRPr="00F5183F">
        <w:rPr>
          <w:rFonts w:asciiTheme="minorHAnsi" w:hAnsiTheme="minorHAnsi" w:cstheme="minorHAnsi"/>
          <w:bCs/>
          <w:lang w:val="sr-Latn-RS"/>
        </w:rPr>
        <w:t xml:space="preserve">Tabela </w:t>
      </w:r>
      <w:r w:rsidR="003A43E3" w:rsidRPr="00F5183F">
        <w:rPr>
          <w:rFonts w:asciiTheme="minorHAnsi" w:hAnsiTheme="minorHAnsi" w:cstheme="minorHAnsi"/>
          <w:bCs/>
          <w:lang w:val="sr-Latn-RS"/>
        </w:rPr>
        <w:t>5</w:t>
      </w:r>
      <w:r w:rsidR="00B0726C" w:rsidRPr="00F5183F">
        <w:rPr>
          <w:rFonts w:asciiTheme="minorHAnsi" w:hAnsiTheme="minorHAnsi" w:cstheme="minorHAnsi"/>
          <w:bCs/>
          <w:lang w:val="sr-Latn-RS"/>
        </w:rPr>
        <w:t>. Uslug</w:t>
      </w:r>
      <w:r w:rsidR="007967F0" w:rsidRPr="00F5183F">
        <w:rPr>
          <w:rFonts w:asciiTheme="minorHAnsi" w:hAnsiTheme="minorHAnsi" w:cstheme="minorHAnsi"/>
          <w:bCs/>
          <w:lang w:val="sr-Latn-RS"/>
        </w:rPr>
        <w:t>a</w:t>
      </w:r>
      <w:r w:rsidR="00B0726C" w:rsidRPr="00F5183F">
        <w:rPr>
          <w:rFonts w:asciiTheme="minorHAnsi" w:hAnsiTheme="minorHAnsi" w:cstheme="minorHAnsi"/>
          <w:bCs/>
          <w:lang w:val="sr-Latn-RS"/>
        </w:rPr>
        <w:t xml:space="preserve"> smeštaja </w:t>
      </w:r>
      <w:r w:rsidR="003A43E3" w:rsidRPr="00F5183F">
        <w:rPr>
          <w:rFonts w:asciiTheme="minorHAnsi" w:hAnsiTheme="minorHAnsi" w:cstheme="minorHAnsi"/>
          <w:bCs/>
          <w:lang w:val="sr-Latn-RS"/>
        </w:rPr>
        <w:t xml:space="preserve">u nadležnosti </w:t>
      </w:r>
      <w:r w:rsidR="00B0726C" w:rsidRPr="00F5183F">
        <w:rPr>
          <w:rFonts w:asciiTheme="minorHAnsi" w:hAnsiTheme="minorHAnsi" w:cstheme="minorHAnsi"/>
          <w:bCs/>
          <w:lang w:val="sr-Latn-RS"/>
        </w:rPr>
        <w:t>nacionalnog nivoa</w:t>
      </w:r>
      <w:r w:rsidR="007A5C4F" w:rsidRPr="00F5183F">
        <w:rPr>
          <w:rFonts w:asciiTheme="minorHAnsi" w:hAnsiTheme="minorHAnsi" w:cstheme="minorHAnsi"/>
          <w:bCs/>
          <w:lang w:val="sr-Latn-RS"/>
        </w:rPr>
        <w:t>, 2019</w:t>
      </w:r>
      <w:r w:rsidR="00213EFD" w:rsidRPr="00F5183F">
        <w:rPr>
          <w:rFonts w:asciiTheme="minorHAnsi" w:hAnsiTheme="minorHAnsi" w:cstheme="minorHAnsi"/>
          <w:bCs/>
          <w:lang w:val="sr-Latn-RS"/>
        </w:rPr>
        <w:t>.</w:t>
      </w:r>
    </w:p>
    <w:tbl>
      <w:tblPr>
        <w:tblW w:w="5000" w:type="pct"/>
        <w:jc w:val="center"/>
        <w:tblLook w:val="04A0" w:firstRow="1" w:lastRow="0" w:firstColumn="1" w:lastColumn="0" w:noHBand="0" w:noVBand="1"/>
      </w:tblPr>
      <w:tblGrid>
        <w:gridCol w:w="5570"/>
        <w:gridCol w:w="615"/>
        <w:gridCol w:w="1045"/>
        <w:gridCol w:w="350"/>
        <w:gridCol w:w="1780"/>
      </w:tblGrid>
      <w:tr w:rsidR="00A50CDA" w:rsidRPr="00F5183F" w14:paraId="73CF484F" w14:textId="77777777" w:rsidTr="00E72418">
        <w:trPr>
          <w:trHeight w:val="288"/>
          <w:jc w:val="center"/>
        </w:trPr>
        <w:tc>
          <w:tcPr>
            <w:tcW w:w="2976" w:type="pct"/>
            <w:vMerge w:val="restart"/>
            <w:tcBorders>
              <w:top w:val="single" w:sz="4" w:space="0" w:color="auto"/>
              <w:left w:val="nil"/>
              <w:right w:val="nil"/>
            </w:tcBorders>
            <w:shd w:val="clear" w:color="auto" w:fill="auto"/>
            <w:noWrap/>
            <w:vAlign w:val="bottom"/>
            <w:hideMark/>
          </w:tcPr>
          <w:p w14:paraId="4D23A340" w14:textId="77777777" w:rsidR="00A50CDA" w:rsidRPr="00F5183F" w:rsidRDefault="00A50CDA" w:rsidP="007C2A38">
            <w:pPr>
              <w:rPr>
                <w:rFonts w:asciiTheme="minorHAnsi" w:hAnsiTheme="minorHAnsi" w:cstheme="minorHAnsi"/>
                <w:color w:val="000000"/>
                <w:lang w:val="sr-Latn-RS"/>
              </w:rPr>
            </w:pPr>
          </w:p>
        </w:tc>
        <w:tc>
          <w:tcPr>
            <w:tcW w:w="1073" w:type="pct"/>
            <w:gridSpan w:val="3"/>
            <w:tcBorders>
              <w:top w:val="single" w:sz="4" w:space="0" w:color="auto"/>
              <w:left w:val="nil"/>
              <w:right w:val="nil"/>
            </w:tcBorders>
            <w:shd w:val="clear" w:color="auto" w:fill="auto"/>
            <w:noWrap/>
            <w:vAlign w:val="bottom"/>
            <w:hideMark/>
          </w:tcPr>
          <w:p w14:paraId="23ACC936" w14:textId="24F36E24" w:rsidR="00A50CDA" w:rsidRPr="00F5183F" w:rsidRDefault="00E72418" w:rsidP="00E72418">
            <w:pPr>
              <w:rPr>
                <w:rFonts w:asciiTheme="minorHAnsi" w:hAnsiTheme="minorHAnsi" w:cstheme="minorHAnsi"/>
                <w:color w:val="000000"/>
                <w:lang w:val="sr-Latn-RS"/>
              </w:rPr>
            </w:pPr>
            <w:r w:rsidRPr="00F5183F">
              <w:rPr>
                <w:rFonts w:asciiTheme="minorHAnsi" w:hAnsiTheme="minorHAnsi" w:cstheme="minorHAnsi"/>
                <w:color w:val="000000"/>
                <w:lang w:val="sr-Latn-RS"/>
              </w:rPr>
              <w:t xml:space="preserve">       </w:t>
            </w:r>
            <w:r w:rsidR="00A50CDA" w:rsidRPr="00F5183F">
              <w:rPr>
                <w:rFonts w:asciiTheme="minorHAnsi" w:hAnsiTheme="minorHAnsi" w:cstheme="minorHAnsi"/>
                <w:color w:val="000000"/>
                <w:lang w:val="sr-Latn-RS"/>
              </w:rPr>
              <w:t>Bač</w:t>
            </w:r>
          </w:p>
          <w:p w14:paraId="45033665" w14:textId="1369393E" w:rsidR="00A50CDA" w:rsidRPr="00F5183F" w:rsidRDefault="00A50CDA" w:rsidP="007C2A38">
            <w:pPr>
              <w:jc w:val="center"/>
              <w:rPr>
                <w:rFonts w:asciiTheme="minorHAnsi" w:hAnsiTheme="minorHAnsi" w:cstheme="minorHAnsi"/>
                <w:color w:val="000000"/>
                <w:lang w:val="sr-Latn-RS"/>
              </w:rPr>
            </w:pPr>
          </w:p>
        </w:tc>
        <w:tc>
          <w:tcPr>
            <w:tcW w:w="951" w:type="pct"/>
            <w:vMerge w:val="restart"/>
            <w:tcBorders>
              <w:top w:val="single" w:sz="4" w:space="0" w:color="auto"/>
              <w:left w:val="nil"/>
              <w:right w:val="nil"/>
            </w:tcBorders>
            <w:shd w:val="clear" w:color="auto" w:fill="auto"/>
            <w:noWrap/>
            <w:vAlign w:val="bottom"/>
            <w:hideMark/>
          </w:tcPr>
          <w:p w14:paraId="274A98A9" w14:textId="77777777" w:rsidR="00A50CDA" w:rsidRPr="00F5183F" w:rsidRDefault="00A50CDA" w:rsidP="007C2A38">
            <w:pPr>
              <w:jc w:val="center"/>
              <w:rPr>
                <w:rFonts w:asciiTheme="minorHAnsi" w:hAnsiTheme="minorHAnsi" w:cstheme="minorHAnsi"/>
                <w:color w:val="000000"/>
                <w:lang w:val="sr-Latn-RS"/>
              </w:rPr>
            </w:pPr>
            <w:r w:rsidRPr="00F5183F">
              <w:rPr>
                <w:rFonts w:asciiTheme="minorHAnsi" w:hAnsiTheme="minorHAnsi"/>
                <w:color w:val="000000"/>
                <w:lang w:val="sr-Latn-RS"/>
              </w:rPr>
              <w:t>Republika Srbija</w:t>
            </w:r>
          </w:p>
        </w:tc>
      </w:tr>
      <w:tr w:rsidR="00A50CDA" w:rsidRPr="00F5183F" w14:paraId="47922F3D" w14:textId="77777777" w:rsidTr="00E72418">
        <w:trPr>
          <w:trHeight w:val="282"/>
          <w:jc w:val="center"/>
        </w:trPr>
        <w:tc>
          <w:tcPr>
            <w:tcW w:w="2976" w:type="pct"/>
            <w:vMerge/>
            <w:tcBorders>
              <w:left w:val="nil"/>
              <w:bottom w:val="single" w:sz="4" w:space="0" w:color="auto"/>
              <w:right w:val="nil"/>
            </w:tcBorders>
            <w:shd w:val="clear" w:color="auto" w:fill="auto"/>
            <w:noWrap/>
            <w:vAlign w:val="bottom"/>
          </w:tcPr>
          <w:p w14:paraId="21FA2F28" w14:textId="77777777" w:rsidR="00A50CDA" w:rsidRPr="00F5183F" w:rsidRDefault="00A50CDA" w:rsidP="007C2A38">
            <w:pPr>
              <w:rPr>
                <w:rFonts w:asciiTheme="minorHAnsi" w:hAnsiTheme="minorHAnsi" w:cstheme="minorHAnsi"/>
                <w:color w:val="000000"/>
                <w:lang w:val="sr-Latn-RS"/>
              </w:rPr>
            </w:pPr>
          </w:p>
        </w:tc>
        <w:tc>
          <w:tcPr>
            <w:tcW w:w="329" w:type="pct"/>
            <w:tcBorders>
              <w:left w:val="nil"/>
              <w:bottom w:val="single" w:sz="4" w:space="0" w:color="auto"/>
              <w:right w:val="nil"/>
            </w:tcBorders>
            <w:shd w:val="clear" w:color="auto" w:fill="auto"/>
            <w:noWrap/>
            <w:vAlign w:val="bottom"/>
          </w:tcPr>
          <w:p w14:paraId="15EFDAAA" w14:textId="629E4C99" w:rsidR="00A50CDA" w:rsidRPr="00F5183F" w:rsidRDefault="00A50CDA" w:rsidP="007C2A38">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Broj</w:t>
            </w:r>
          </w:p>
        </w:tc>
        <w:tc>
          <w:tcPr>
            <w:tcW w:w="745" w:type="pct"/>
            <w:gridSpan w:val="2"/>
            <w:tcBorders>
              <w:left w:val="nil"/>
              <w:bottom w:val="single" w:sz="4" w:space="0" w:color="auto"/>
              <w:right w:val="nil"/>
            </w:tcBorders>
            <w:shd w:val="clear" w:color="auto" w:fill="auto"/>
            <w:vAlign w:val="bottom"/>
          </w:tcPr>
          <w:p w14:paraId="2DA46A06" w14:textId="3BFC9C7F" w:rsidR="00A50CDA" w:rsidRPr="00F5183F" w:rsidRDefault="00A50CDA" w:rsidP="00213EFD">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Stop</w:t>
            </w:r>
            <w:r w:rsidR="007A5C4F" w:rsidRPr="00F5183F">
              <w:rPr>
                <w:rFonts w:asciiTheme="minorHAnsi" w:hAnsiTheme="minorHAnsi" w:cstheme="minorHAnsi"/>
                <w:color w:val="000000"/>
                <w:lang w:val="sr-Latn-RS"/>
              </w:rPr>
              <w:t>a/Udeo</w:t>
            </w:r>
          </w:p>
        </w:tc>
        <w:tc>
          <w:tcPr>
            <w:tcW w:w="951" w:type="pct"/>
            <w:vMerge/>
            <w:tcBorders>
              <w:left w:val="nil"/>
              <w:bottom w:val="single" w:sz="4" w:space="0" w:color="auto"/>
              <w:right w:val="nil"/>
            </w:tcBorders>
            <w:shd w:val="clear" w:color="auto" w:fill="auto"/>
            <w:noWrap/>
            <w:vAlign w:val="bottom"/>
          </w:tcPr>
          <w:p w14:paraId="17843FD9" w14:textId="77777777" w:rsidR="00A50CDA" w:rsidRPr="00F5183F" w:rsidRDefault="00A50CDA" w:rsidP="007C2A38">
            <w:pPr>
              <w:jc w:val="center"/>
              <w:rPr>
                <w:rFonts w:asciiTheme="minorHAnsi" w:hAnsiTheme="minorHAnsi"/>
                <w:color w:val="000000"/>
                <w:lang w:val="sr-Latn-RS"/>
              </w:rPr>
            </w:pPr>
          </w:p>
        </w:tc>
      </w:tr>
      <w:tr w:rsidR="00646F4F" w:rsidRPr="00F5183F" w14:paraId="6914FCBD" w14:textId="77777777" w:rsidTr="00E72418">
        <w:trPr>
          <w:trHeight w:val="336"/>
          <w:jc w:val="center"/>
        </w:trPr>
        <w:tc>
          <w:tcPr>
            <w:tcW w:w="2976" w:type="pct"/>
            <w:tcBorders>
              <w:top w:val="single" w:sz="4" w:space="0" w:color="auto"/>
            </w:tcBorders>
            <w:shd w:val="clear" w:color="000000" w:fill="FFFFFF"/>
            <w:vAlign w:val="center"/>
          </w:tcPr>
          <w:p w14:paraId="53833FB0" w14:textId="3B671E8B" w:rsidR="00646F4F" w:rsidRPr="00F5183F" w:rsidRDefault="00646F4F" w:rsidP="007C2A38">
            <w:pPr>
              <w:rPr>
                <w:rFonts w:asciiTheme="minorHAnsi" w:hAnsiTheme="minorHAnsi" w:cstheme="minorHAnsi"/>
                <w:lang w:val="sr-Latn-RS"/>
              </w:rPr>
            </w:pPr>
            <w:r w:rsidRPr="00F5183F">
              <w:rPr>
                <w:rFonts w:asciiTheme="minorHAnsi" w:hAnsiTheme="minorHAnsi" w:cstheme="minorHAnsi"/>
                <w:lang w:val="sr-Latn-RS"/>
              </w:rPr>
              <w:t>Deca koja koriste uslugu smeštaja</w:t>
            </w:r>
            <w:r w:rsidR="002F7F37" w:rsidRPr="00F5183F">
              <w:rPr>
                <w:rFonts w:asciiTheme="minorHAnsi" w:hAnsiTheme="minorHAnsi" w:cstheme="minorHAnsi"/>
                <w:lang w:val="sr-Latn-RS"/>
              </w:rPr>
              <w:t xml:space="preserve"> </w:t>
            </w:r>
            <w:r w:rsidR="002F7F37" w:rsidRPr="00F5183F">
              <w:rPr>
                <w:rFonts w:asciiTheme="minorHAnsi" w:hAnsiTheme="minorHAnsi" w:cstheme="minorHAnsi"/>
                <w:bCs/>
                <w:lang w:val="sr-Latn-RS"/>
              </w:rPr>
              <w:t>(‰)</w:t>
            </w:r>
          </w:p>
        </w:tc>
        <w:tc>
          <w:tcPr>
            <w:tcW w:w="329" w:type="pct"/>
            <w:tcBorders>
              <w:top w:val="single" w:sz="4" w:space="0" w:color="auto"/>
            </w:tcBorders>
            <w:shd w:val="clear" w:color="000000" w:fill="FFFFFF"/>
            <w:noWrap/>
            <w:vAlign w:val="bottom"/>
          </w:tcPr>
          <w:p w14:paraId="6D2F1A60" w14:textId="36FCAE90" w:rsidR="00646F4F" w:rsidRPr="00F5183F" w:rsidRDefault="004B1247" w:rsidP="00EB1ADD">
            <w:pPr>
              <w:jc w:val="right"/>
              <w:rPr>
                <w:rFonts w:asciiTheme="minorHAnsi" w:hAnsiTheme="minorHAnsi" w:cstheme="minorHAnsi"/>
                <w:color w:val="000000"/>
                <w:lang w:val="sr-Latn-RS"/>
              </w:rPr>
            </w:pPr>
            <w:r w:rsidRPr="00F5183F">
              <w:rPr>
                <w:rFonts w:asciiTheme="minorHAnsi" w:hAnsiTheme="minorHAnsi" w:cstheme="minorHAnsi"/>
                <w:color w:val="000000"/>
                <w:lang w:val="sr-Latn-RS"/>
              </w:rPr>
              <w:t>17</w:t>
            </w:r>
          </w:p>
        </w:tc>
        <w:tc>
          <w:tcPr>
            <w:tcW w:w="558" w:type="pct"/>
            <w:tcBorders>
              <w:top w:val="single" w:sz="4" w:space="0" w:color="auto"/>
            </w:tcBorders>
            <w:shd w:val="clear" w:color="000000" w:fill="FFFFFF"/>
            <w:vAlign w:val="bottom"/>
          </w:tcPr>
          <w:p w14:paraId="4313D41A" w14:textId="17A085B1" w:rsidR="00646F4F" w:rsidRPr="00F5183F" w:rsidRDefault="00A50CDA" w:rsidP="00EB1ADD">
            <w:pPr>
              <w:jc w:val="right"/>
              <w:rPr>
                <w:rFonts w:asciiTheme="minorHAnsi" w:hAnsiTheme="minorHAnsi" w:cstheme="minorHAnsi"/>
                <w:color w:val="000000"/>
                <w:lang w:val="sr-Latn-RS"/>
              </w:rPr>
            </w:pPr>
            <w:r w:rsidRPr="00F5183F">
              <w:rPr>
                <w:rFonts w:asciiTheme="minorHAnsi" w:hAnsiTheme="minorHAnsi" w:cstheme="minorHAnsi"/>
                <w:color w:val="000000"/>
                <w:lang w:val="sr-Latn-RS"/>
              </w:rPr>
              <w:t>8,1</w:t>
            </w:r>
          </w:p>
        </w:tc>
        <w:tc>
          <w:tcPr>
            <w:tcW w:w="1138" w:type="pct"/>
            <w:gridSpan w:val="2"/>
            <w:tcBorders>
              <w:top w:val="single" w:sz="4" w:space="0" w:color="auto"/>
            </w:tcBorders>
            <w:shd w:val="clear" w:color="000000" w:fill="FFFFFF"/>
            <w:noWrap/>
            <w:vAlign w:val="bottom"/>
          </w:tcPr>
          <w:p w14:paraId="6ABCD3C4" w14:textId="0C266D83" w:rsidR="00646F4F" w:rsidRPr="00F5183F" w:rsidRDefault="002004DE" w:rsidP="00EB1ADD">
            <w:pPr>
              <w:jc w:val="right"/>
              <w:rPr>
                <w:rFonts w:asciiTheme="minorHAnsi" w:hAnsiTheme="minorHAnsi" w:cstheme="minorHAnsi"/>
                <w:color w:val="000000"/>
                <w:lang w:val="sr-Latn-RS"/>
              </w:rPr>
            </w:pPr>
            <w:r w:rsidRPr="00F5183F">
              <w:rPr>
                <w:rFonts w:asciiTheme="minorHAnsi" w:hAnsiTheme="minorHAnsi" w:cstheme="minorHAnsi"/>
                <w:color w:val="000000"/>
                <w:lang w:val="sr-Latn-RS"/>
              </w:rPr>
              <w:t>4</w:t>
            </w:r>
            <w:r w:rsidR="001846F5" w:rsidRPr="00F5183F">
              <w:rPr>
                <w:rFonts w:asciiTheme="minorHAnsi" w:hAnsiTheme="minorHAnsi" w:cstheme="minorHAnsi"/>
                <w:color w:val="000000"/>
                <w:lang w:val="sr-Latn-RS"/>
              </w:rPr>
              <w:t>,</w:t>
            </w:r>
            <w:r w:rsidRPr="00F5183F">
              <w:rPr>
                <w:rFonts w:asciiTheme="minorHAnsi" w:hAnsiTheme="minorHAnsi" w:cstheme="minorHAnsi"/>
                <w:color w:val="000000"/>
                <w:lang w:val="sr-Latn-RS"/>
              </w:rPr>
              <w:t>9</w:t>
            </w:r>
          </w:p>
        </w:tc>
      </w:tr>
      <w:tr w:rsidR="00646F4F" w:rsidRPr="00F5183F" w14:paraId="708CA036" w14:textId="77777777" w:rsidTr="00E72418">
        <w:trPr>
          <w:trHeight w:val="234"/>
          <w:jc w:val="center"/>
        </w:trPr>
        <w:tc>
          <w:tcPr>
            <w:tcW w:w="2976" w:type="pct"/>
            <w:shd w:val="clear" w:color="000000" w:fill="FFFFFF"/>
            <w:vAlign w:val="center"/>
          </w:tcPr>
          <w:p w14:paraId="18B0F804" w14:textId="37272AE7" w:rsidR="00646F4F" w:rsidRPr="00F5183F" w:rsidRDefault="00646F4F" w:rsidP="007C2A38">
            <w:pPr>
              <w:rPr>
                <w:rFonts w:asciiTheme="minorHAnsi" w:hAnsiTheme="minorHAnsi" w:cstheme="minorHAnsi"/>
                <w:lang w:val="sr-Latn-RS"/>
              </w:rPr>
            </w:pPr>
            <w:r w:rsidRPr="00F5183F">
              <w:rPr>
                <w:rFonts w:asciiTheme="minorHAnsi" w:hAnsiTheme="minorHAnsi" w:cstheme="minorHAnsi"/>
                <w:i/>
                <w:iCs/>
                <w:lang w:val="sr-Latn-RS"/>
              </w:rPr>
              <w:t xml:space="preserve">Deca </w:t>
            </w:r>
            <w:r w:rsidR="002004DE" w:rsidRPr="00F5183F">
              <w:rPr>
                <w:rFonts w:asciiTheme="minorHAnsi" w:hAnsiTheme="minorHAnsi" w:cstheme="minorHAnsi"/>
                <w:i/>
                <w:iCs/>
                <w:lang w:val="sr-Latn-RS"/>
              </w:rPr>
              <w:t xml:space="preserve">u </w:t>
            </w:r>
            <w:r w:rsidRPr="00F5183F">
              <w:rPr>
                <w:rFonts w:asciiTheme="minorHAnsi" w:hAnsiTheme="minorHAnsi" w:cstheme="minorHAnsi"/>
                <w:i/>
                <w:iCs/>
                <w:lang w:val="sr-Latn-RS"/>
              </w:rPr>
              <w:t>rezidencijaln</w:t>
            </w:r>
            <w:r w:rsidR="002004DE" w:rsidRPr="00F5183F">
              <w:rPr>
                <w:rFonts w:asciiTheme="minorHAnsi" w:hAnsiTheme="minorHAnsi" w:cstheme="minorHAnsi"/>
                <w:i/>
                <w:iCs/>
                <w:lang w:val="sr-Latn-RS"/>
              </w:rPr>
              <w:t>i</w:t>
            </w:r>
            <w:r w:rsidRPr="00F5183F">
              <w:rPr>
                <w:rFonts w:asciiTheme="minorHAnsi" w:hAnsiTheme="minorHAnsi" w:cstheme="minorHAnsi"/>
                <w:i/>
                <w:iCs/>
                <w:lang w:val="sr-Latn-RS"/>
              </w:rPr>
              <w:t xml:space="preserve">m </w:t>
            </w:r>
            <w:r w:rsidR="002004DE" w:rsidRPr="00F5183F">
              <w:rPr>
                <w:rFonts w:asciiTheme="minorHAnsi" w:hAnsiTheme="minorHAnsi" w:cstheme="minorHAnsi"/>
                <w:i/>
                <w:iCs/>
                <w:lang w:val="sr-Latn-RS"/>
              </w:rPr>
              <w:t>institucijama</w:t>
            </w:r>
            <w:r w:rsidR="002F7F37" w:rsidRPr="00F5183F">
              <w:rPr>
                <w:rFonts w:asciiTheme="minorHAnsi" w:hAnsiTheme="minorHAnsi" w:cstheme="minorHAnsi"/>
                <w:i/>
                <w:iCs/>
                <w:lang w:val="sr-Latn-RS"/>
              </w:rPr>
              <w:t xml:space="preserve"> </w:t>
            </w:r>
            <w:r w:rsidR="002F7F37" w:rsidRPr="00F5183F">
              <w:rPr>
                <w:rFonts w:asciiTheme="minorHAnsi" w:hAnsiTheme="minorHAnsi" w:cstheme="minorHAnsi"/>
                <w:bCs/>
                <w:lang w:val="sr-Latn-RS"/>
              </w:rPr>
              <w:t>(‰)</w:t>
            </w:r>
          </w:p>
        </w:tc>
        <w:tc>
          <w:tcPr>
            <w:tcW w:w="329" w:type="pct"/>
            <w:shd w:val="clear" w:color="000000" w:fill="FFFFFF"/>
            <w:noWrap/>
            <w:vAlign w:val="bottom"/>
          </w:tcPr>
          <w:p w14:paraId="58276959" w14:textId="3AEFADE8" w:rsidR="00646F4F" w:rsidRPr="00F5183F" w:rsidRDefault="007967F0" w:rsidP="00EB1ADD">
            <w:pPr>
              <w:jc w:val="right"/>
              <w:rPr>
                <w:rFonts w:asciiTheme="minorHAnsi" w:hAnsiTheme="minorHAnsi" w:cstheme="minorHAnsi"/>
                <w:i/>
                <w:iCs/>
                <w:color w:val="000000"/>
                <w:lang w:val="sr-Latn-RS"/>
              </w:rPr>
            </w:pPr>
            <w:r w:rsidRPr="00F5183F">
              <w:rPr>
                <w:rFonts w:asciiTheme="minorHAnsi" w:hAnsiTheme="minorHAnsi" w:cstheme="minorHAnsi"/>
                <w:i/>
                <w:iCs/>
                <w:color w:val="000000"/>
                <w:lang w:val="sr-Latn-RS"/>
              </w:rPr>
              <w:t xml:space="preserve"> 3</w:t>
            </w:r>
          </w:p>
        </w:tc>
        <w:tc>
          <w:tcPr>
            <w:tcW w:w="558" w:type="pct"/>
            <w:shd w:val="clear" w:color="000000" w:fill="FFFFFF"/>
            <w:vAlign w:val="bottom"/>
          </w:tcPr>
          <w:p w14:paraId="7B016880" w14:textId="72F5E968" w:rsidR="00646F4F" w:rsidRPr="00F5183F" w:rsidRDefault="00A50CDA" w:rsidP="00EB1ADD">
            <w:pPr>
              <w:jc w:val="right"/>
              <w:rPr>
                <w:rFonts w:asciiTheme="minorHAnsi" w:hAnsiTheme="minorHAnsi" w:cstheme="minorHAnsi"/>
                <w:i/>
                <w:iCs/>
                <w:color w:val="000000"/>
                <w:lang w:val="sr-Latn-RS"/>
              </w:rPr>
            </w:pPr>
            <w:r w:rsidRPr="00F5183F">
              <w:rPr>
                <w:rFonts w:asciiTheme="minorHAnsi" w:hAnsiTheme="minorHAnsi" w:cstheme="minorHAnsi"/>
                <w:i/>
                <w:iCs/>
                <w:color w:val="000000"/>
                <w:lang w:val="sr-Latn-RS"/>
              </w:rPr>
              <w:t>1,4</w:t>
            </w:r>
          </w:p>
        </w:tc>
        <w:tc>
          <w:tcPr>
            <w:tcW w:w="1138" w:type="pct"/>
            <w:gridSpan w:val="2"/>
            <w:shd w:val="clear" w:color="000000" w:fill="FFFFFF"/>
            <w:noWrap/>
            <w:vAlign w:val="bottom"/>
          </w:tcPr>
          <w:p w14:paraId="0012E94B" w14:textId="7FFC74B9" w:rsidR="00646F4F" w:rsidRPr="00F5183F" w:rsidRDefault="00A50CDA" w:rsidP="00EB1ADD">
            <w:pPr>
              <w:jc w:val="right"/>
              <w:rPr>
                <w:rFonts w:asciiTheme="minorHAnsi" w:hAnsiTheme="minorHAnsi" w:cstheme="minorHAnsi"/>
                <w:i/>
                <w:iCs/>
                <w:color w:val="000000"/>
                <w:lang w:val="sr-Latn-RS"/>
              </w:rPr>
            </w:pPr>
            <w:r w:rsidRPr="00F5183F">
              <w:rPr>
                <w:rFonts w:asciiTheme="minorHAnsi" w:hAnsiTheme="minorHAnsi" w:cstheme="minorHAnsi"/>
                <w:i/>
                <w:iCs/>
                <w:color w:val="000000"/>
                <w:lang w:val="sr-Latn-RS"/>
              </w:rPr>
              <w:t>0,</w:t>
            </w:r>
            <w:r w:rsidR="002004DE" w:rsidRPr="00F5183F">
              <w:rPr>
                <w:rFonts w:asciiTheme="minorHAnsi" w:hAnsiTheme="minorHAnsi" w:cstheme="minorHAnsi"/>
                <w:i/>
                <w:iCs/>
                <w:color w:val="000000"/>
                <w:lang w:val="sr-Latn-RS"/>
              </w:rPr>
              <w:t>5</w:t>
            </w:r>
          </w:p>
        </w:tc>
      </w:tr>
      <w:tr w:rsidR="001D30F5" w:rsidRPr="00F5183F" w14:paraId="5FEE75AC" w14:textId="77777777" w:rsidTr="00E72418">
        <w:trPr>
          <w:trHeight w:val="266"/>
          <w:jc w:val="center"/>
        </w:trPr>
        <w:tc>
          <w:tcPr>
            <w:tcW w:w="2976" w:type="pct"/>
            <w:shd w:val="clear" w:color="000000" w:fill="FFFFFF"/>
            <w:vAlign w:val="center"/>
          </w:tcPr>
          <w:p w14:paraId="1940017F" w14:textId="25F36ABB" w:rsidR="001D30F5" w:rsidRPr="00F5183F" w:rsidRDefault="001D30F5" w:rsidP="001D30F5">
            <w:pPr>
              <w:rPr>
                <w:rFonts w:asciiTheme="minorHAnsi" w:hAnsiTheme="minorHAnsi" w:cstheme="minorHAnsi"/>
                <w:lang w:val="sr-Latn-RS"/>
              </w:rPr>
            </w:pPr>
            <w:r w:rsidRPr="00F5183F">
              <w:rPr>
                <w:rFonts w:asciiTheme="minorHAnsi" w:hAnsiTheme="minorHAnsi" w:cstheme="minorHAnsi"/>
                <w:i/>
                <w:iCs/>
                <w:lang w:val="sr-Latn-RS"/>
              </w:rPr>
              <w:t>Deca u hraniteljskim porodicam</w:t>
            </w:r>
            <w:r w:rsidRPr="00F5183F">
              <w:rPr>
                <w:rFonts w:asciiTheme="minorHAnsi" w:hAnsiTheme="minorHAnsi" w:cstheme="minorHAnsi"/>
                <w:lang w:val="sr-Latn-RS"/>
              </w:rPr>
              <w:t>a</w:t>
            </w:r>
            <w:r w:rsidR="002F7F37" w:rsidRPr="00F5183F">
              <w:rPr>
                <w:rFonts w:asciiTheme="minorHAnsi" w:hAnsiTheme="minorHAnsi" w:cstheme="minorHAnsi"/>
                <w:lang w:val="sr-Latn-RS"/>
              </w:rPr>
              <w:t xml:space="preserve"> </w:t>
            </w:r>
            <w:r w:rsidR="002F7F37" w:rsidRPr="00F5183F">
              <w:rPr>
                <w:rFonts w:asciiTheme="minorHAnsi" w:hAnsiTheme="minorHAnsi" w:cstheme="minorHAnsi"/>
                <w:bCs/>
                <w:lang w:val="sr-Latn-RS"/>
              </w:rPr>
              <w:t>(‰)</w:t>
            </w:r>
          </w:p>
        </w:tc>
        <w:tc>
          <w:tcPr>
            <w:tcW w:w="329" w:type="pct"/>
            <w:shd w:val="clear" w:color="000000" w:fill="FFFFFF"/>
            <w:noWrap/>
            <w:vAlign w:val="bottom"/>
          </w:tcPr>
          <w:p w14:paraId="478629F5" w14:textId="14E610D1" w:rsidR="001D30F5" w:rsidRPr="00F5183F" w:rsidRDefault="001D30F5" w:rsidP="00EB1ADD">
            <w:pPr>
              <w:jc w:val="right"/>
              <w:rPr>
                <w:rFonts w:asciiTheme="minorHAnsi" w:hAnsiTheme="minorHAnsi" w:cstheme="minorHAnsi"/>
                <w:i/>
                <w:iCs/>
                <w:color w:val="000000"/>
                <w:lang w:val="sr-Latn-RS"/>
              </w:rPr>
            </w:pPr>
            <w:r w:rsidRPr="00F5183F">
              <w:rPr>
                <w:rFonts w:asciiTheme="minorHAnsi" w:hAnsiTheme="minorHAnsi" w:cstheme="minorHAnsi"/>
                <w:i/>
                <w:iCs/>
                <w:color w:val="000000"/>
                <w:lang w:val="sr-Latn-RS"/>
              </w:rPr>
              <w:t>1</w:t>
            </w:r>
            <w:r w:rsidR="004B1247" w:rsidRPr="00F5183F">
              <w:rPr>
                <w:rFonts w:asciiTheme="minorHAnsi" w:hAnsiTheme="minorHAnsi" w:cstheme="minorHAnsi"/>
                <w:i/>
                <w:iCs/>
                <w:color w:val="000000"/>
                <w:lang w:val="sr-Latn-RS"/>
              </w:rPr>
              <w:t>4</w:t>
            </w:r>
          </w:p>
        </w:tc>
        <w:tc>
          <w:tcPr>
            <w:tcW w:w="558" w:type="pct"/>
            <w:shd w:val="clear" w:color="000000" w:fill="FFFFFF"/>
            <w:vAlign w:val="bottom"/>
          </w:tcPr>
          <w:p w14:paraId="010482C6" w14:textId="36AFE333" w:rsidR="001D30F5" w:rsidRPr="00F5183F" w:rsidRDefault="00A50CDA" w:rsidP="00EB1ADD">
            <w:pPr>
              <w:jc w:val="right"/>
              <w:rPr>
                <w:rFonts w:asciiTheme="minorHAnsi" w:hAnsiTheme="minorHAnsi" w:cstheme="minorHAnsi"/>
                <w:i/>
                <w:iCs/>
                <w:color w:val="000000"/>
                <w:lang w:val="sr-Latn-RS"/>
              </w:rPr>
            </w:pPr>
            <w:r w:rsidRPr="00F5183F">
              <w:rPr>
                <w:rFonts w:asciiTheme="minorHAnsi" w:hAnsiTheme="minorHAnsi" w:cstheme="minorHAnsi"/>
                <w:i/>
                <w:iCs/>
                <w:color w:val="000000"/>
                <w:lang w:val="sr-Latn-RS"/>
              </w:rPr>
              <w:t>6,7</w:t>
            </w:r>
          </w:p>
        </w:tc>
        <w:tc>
          <w:tcPr>
            <w:tcW w:w="1138" w:type="pct"/>
            <w:gridSpan w:val="2"/>
            <w:shd w:val="clear" w:color="000000" w:fill="FFFFFF"/>
            <w:noWrap/>
            <w:vAlign w:val="bottom"/>
          </w:tcPr>
          <w:p w14:paraId="25198ACC" w14:textId="476E53C4" w:rsidR="001D30F5" w:rsidRPr="00F5183F" w:rsidRDefault="00646F4F" w:rsidP="00EB1ADD">
            <w:pPr>
              <w:jc w:val="right"/>
              <w:rPr>
                <w:rFonts w:asciiTheme="minorHAnsi" w:hAnsiTheme="minorHAnsi" w:cstheme="minorHAnsi"/>
                <w:i/>
                <w:iCs/>
                <w:color w:val="000000"/>
                <w:lang w:val="sr-Latn-RS"/>
              </w:rPr>
            </w:pPr>
            <w:r w:rsidRPr="00F5183F">
              <w:rPr>
                <w:rFonts w:asciiTheme="minorHAnsi" w:hAnsiTheme="minorHAnsi" w:cstheme="minorHAnsi"/>
                <w:i/>
                <w:iCs/>
                <w:color w:val="000000"/>
                <w:lang w:val="sr-Latn-RS"/>
              </w:rPr>
              <w:t>4,4</w:t>
            </w:r>
          </w:p>
        </w:tc>
      </w:tr>
      <w:tr w:rsidR="001D30F5" w:rsidRPr="00F5183F" w14:paraId="23268C44" w14:textId="77777777" w:rsidTr="00E72418">
        <w:trPr>
          <w:trHeight w:val="319"/>
          <w:jc w:val="center"/>
        </w:trPr>
        <w:tc>
          <w:tcPr>
            <w:tcW w:w="2976" w:type="pct"/>
            <w:tcBorders>
              <w:bottom w:val="single" w:sz="4" w:space="0" w:color="auto"/>
            </w:tcBorders>
            <w:shd w:val="clear" w:color="000000" w:fill="FFFFFF"/>
            <w:vAlign w:val="center"/>
          </w:tcPr>
          <w:p w14:paraId="17E99529" w14:textId="3B087B71" w:rsidR="001D30F5" w:rsidRPr="00F5183F" w:rsidRDefault="00693963" w:rsidP="001D30F5">
            <w:pPr>
              <w:rPr>
                <w:rFonts w:asciiTheme="minorHAnsi" w:hAnsiTheme="minorHAnsi" w:cstheme="minorHAnsi"/>
                <w:lang w:val="sr-Latn-RS"/>
              </w:rPr>
            </w:pPr>
            <w:r w:rsidRPr="00F5183F">
              <w:rPr>
                <w:rFonts w:asciiTheme="minorHAnsi" w:hAnsiTheme="minorHAnsi" w:cstheme="minorHAnsi"/>
                <w:lang w:val="sr-Latn-RS"/>
              </w:rPr>
              <w:t>K</w:t>
            </w:r>
            <w:r w:rsidR="00646F4F" w:rsidRPr="00F5183F">
              <w:rPr>
                <w:rFonts w:asciiTheme="minorHAnsi" w:hAnsiTheme="minorHAnsi" w:cstheme="minorHAnsi"/>
                <w:lang w:val="sr-Latn-RS"/>
              </w:rPr>
              <w:t>orisni</w:t>
            </w:r>
            <w:r w:rsidRPr="00F5183F">
              <w:rPr>
                <w:rFonts w:asciiTheme="minorHAnsi" w:hAnsiTheme="minorHAnsi" w:cstheme="minorHAnsi"/>
                <w:lang w:val="sr-Latn-RS"/>
              </w:rPr>
              <w:t>ci</w:t>
            </w:r>
            <w:r w:rsidR="00646F4F" w:rsidRPr="00F5183F">
              <w:rPr>
                <w:rFonts w:asciiTheme="minorHAnsi" w:hAnsiTheme="minorHAnsi" w:cstheme="minorHAnsi"/>
                <w:lang w:val="sr-Latn-RS"/>
              </w:rPr>
              <w:t xml:space="preserve"> drž</w:t>
            </w:r>
            <w:r w:rsidR="00A50CDA" w:rsidRPr="00F5183F">
              <w:rPr>
                <w:rFonts w:asciiTheme="minorHAnsi" w:hAnsiTheme="minorHAnsi" w:cstheme="minorHAnsi"/>
                <w:lang w:val="sr-Latn-RS"/>
              </w:rPr>
              <w:t>a</w:t>
            </w:r>
            <w:r w:rsidR="00646F4F" w:rsidRPr="00F5183F">
              <w:rPr>
                <w:rFonts w:asciiTheme="minorHAnsi" w:hAnsiTheme="minorHAnsi" w:cstheme="minorHAnsi"/>
                <w:lang w:val="sr-Latn-RS"/>
              </w:rPr>
              <w:t xml:space="preserve">vnih domova </w:t>
            </w:r>
            <w:r w:rsidR="00A50CDA" w:rsidRPr="00F5183F">
              <w:rPr>
                <w:rFonts w:asciiTheme="minorHAnsi" w:hAnsiTheme="minorHAnsi" w:cstheme="minorHAnsi"/>
                <w:lang w:val="sr-Latn-RS"/>
              </w:rPr>
              <w:t>(65+)</w:t>
            </w:r>
            <w:r w:rsidR="002F7F37" w:rsidRPr="00F5183F">
              <w:rPr>
                <w:rFonts w:asciiTheme="minorHAnsi" w:hAnsiTheme="minorHAnsi" w:cstheme="minorHAnsi"/>
                <w:lang w:val="sr-Latn-RS"/>
              </w:rPr>
              <w:t xml:space="preserve"> (%)</w:t>
            </w:r>
          </w:p>
        </w:tc>
        <w:tc>
          <w:tcPr>
            <w:tcW w:w="329" w:type="pct"/>
            <w:tcBorders>
              <w:bottom w:val="single" w:sz="4" w:space="0" w:color="auto"/>
            </w:tcBorders>
            <w:shd w:val="clear" w:color="000000" w:fill="FFFFFF"/>
            <w:noWrap/>
            <w:vAlign w:val="bottom"/>
          </w:tcPr>
          <w:p w14:paraId="770BFD0A" w14:textId="50930031" w:rsidR="001D30F5" w:rsidRPr="00F5183F" w:rsidRDefault="00EB1ADD" w:rsidP="00EB1ADD">
            <w:pPr>
              <w:jc w:val="right"/>
              <w:rPr>
                <w:rFonts w:asciiTheme="minorHAnsi" w:hAnsiTheme="minorHAnsi" w:cstheme="minorHAnsi"/>
                <w:color w:val="000000"/>
                <w:lang w:val="sr-Latn-RS"/>
              </w:rPr>
            </w:pPr>
            <w:r w:rsidRPr="00F5183F">
              <w:rPr>
                <w:rFonts w:asciiTheme="minorHAnsi" w:hAnsiTheme="minorHAnsi" w:cstheme="minorHAnsi"/>
                <w:color w:val="000000"/>
                <w:lang w:val="sr-Latn-RS"/>
              </w:rPr>
              <w:t>20</w:t>
            </w:r>
          </w:p>
        </w:tc>
        <w:tc>
          <w:tcPr>
            <w:tcW w:w="558" w:type="pct"/>
            <w:tcBorders>
              <w:bottom w:val="single" w:sz="4" w:space="0" w:color="auto"/>
            </w:tcBorders>
            <w:shd w:val="clear" w:color="000000" w:fill="FFFFFF"/>
            <w:vAlign w:val="bottom"/>
          </w:tcPr>
          <w:p w14:paraId="21F75CD9" w14:textId="221523A8" w:rsidR="001D30F5" w:rsidRPr="00F5183F" w:rsidRDefault="000D2D0F" w:rsidP="00EB1ADD">
            <w:pPr>
              <w:jc w:val="right"/>
              <w:rPr>
                <w:rFonts w:asciiTheme="minorHAnsi" w:hAnsiTheme="minorHAnsi" w:cstheme="minorHAnsi"/>
                <w:color w:val="000000"/>
                <w:lang w:val="sr-Latn-RS"/>
              </w:rPr>
            </w:pPr>
            <w:r w:rsidRPr="00F5183F">
              <w:rPr>
                <w:rFonts w:asciiTheme="minorHAnsi" w:hAnsiTheme="minorHAnsi" w:cstheme="minorHAnsi"/>
                <w:color w:val="000000"/>
                <w:lang w:val="sr-Latn-RS"/>
              </w:rPr>
              <w:t>0,8</w:t>
            </w:r>
          </w:p>
        </w:tc>
        <w:tc>
          <w:tcPr>
            <w:tcW w:w="1138" w:type="pct"/>
            <w:gridSpan w:val="2"/>
            <w:tcBorders>
              <w:bottom w:val="single" w:sz="4" w:space="0" w:color="auto"/>
            </w:tcBorders>
            <w:shd w:val="clear" w:color="000000" w:fill="FFFFFF"/>
            <w:noWrap/>
            <w:vAlign w:val="bottom"/>
          </w:tcPr>
          <w:p w14:paraId="29B1C02F" w14:textId="79B6C2A5" w:rsidR="001D30F5" w:rsidRPr="00F5183F" w:rsidRDefault="00A50CDA" w:rsidP="00EB1ADD">
            <w:pPr>
              <w:jc w:val="right"/>
              <w:rPr>
                <w:rFonts w:asciiTheme="minorHAnsi" w:hAnsiTheme="minorHAnsi" w:cstheme="minorHAnsi"/>
                <w:color w:val="000000"/>
                <w:lang w:val="sr-Latn-RS"/>
              </w:rPr>
            </w:pPr>
            <w:r w:rsidRPr="00F5183F">
              <w:rPr>
                <w:rFonts w:asciiTheme="minorHAnsi" w:hAnsiTheme="minorHAnsi" w:cstheme="minorHAnsi"/>
                <w:color w:val="000000"/>
                <w:lang w:val="sr-Latn-RS"/>
              </w:rPr>
              <w:t>0,5</w:t>
            </w:r>
          </w:p>
        </w:tc>
      </w:tr>
    </w:tbl>
    <w:p w14:paraId="489D2FDA" w14:textId="5821915E" w:rsidR="003A43E3" w:rsidRPr="00F5183F" w:rsidRDefault="00EB1ADD" w:rsidP="00C8228A">
      <w:pPr>
        <w:rPr>
          <w:rFonts w:asciiTheme="minorHAnsi" w:hAnsiTheme="minorHAnsi"/>
          <w:sz w:val="20"/>
          <w:szCs w:val="20"/>
          <w:lang w:val="sr-Latn-RS"/>
        </w:rPr>
      </w:pPr>
      <w:r w:rsidRPr="00F5183F">
        <w:rPr>
          <w:rFonts w:asciiTheme="minorHAnsi" w:hAnsiTheme="minorHAnsi"/>
          <w:sz w:val="20"/>
          <w:szCs w:val="20"/>
          <w:lang w:val="sr-Latn-RS"/>
        </w:rPr>
        <w:t xml:space="preserve">Izvor: </w:t>
      </w:r>
      <w:r w:rsidR="006168DD" w:rsidRPr="00F5183F">
        <w:rPr>
          <w:rFonts w:asciiTheme="minorHAnsi" w:hAnsiTheme="minorHAnsi"/>
          <w:sz w:val="20"/>
          <w:szCs w:val="20"/>
          <w:lang w:val="sr-Latn-RS"/>
        </w:rPr>
        <w:t>DevInfo</w:t>
      </w:r>
      <w:r w:rsidRPr="00F5183F">
        <w:rPr>
          <w:rFonts w:asciiTheme="minorHAnsi" w:hAnsiTheme="minorHAnsi"/>
          <w:sz w:val="20"/>
          <w:szCs w:val="20"/>
          <w:lang w:val="sr-Latn-RS"/>
        </w:rPr>
        <w:t xml:space="preserve"> – profili opština </w:t>
      </w:r>
    </w:p>
    <w:p w14:paraId="32EDAF72" w14:textId="0A9674FF" w:rsidR="00EB1ADD" w:rsidRPr="00F5183F" w:rsidRDefault="00EB1ADD" w:rsidP="00C8228A">
      <w:pPr>
        <w:rPr>
          <w:rFonts w:ascii="Cambria" w:hAnsi="Cambria"/>
          <w:b/>
          <w:sz w:val="20"/>
          <w:szCs w:val="20"/>
          <w:lang w:val="sr-Latn-RS"/>
        </w:rPr>
      </w:pPr>
      <w:r w:rsidRPr="00F5183F">
        <w:rPr>
          <w:rFonts w:asciiTheme="minorHAnsi" w:hAnsiTheme="minorHAnsi"/>
          <w:sz w:val="20"/>
          <w:szCs w:val="20"/>
          <w:lang w:val="sr-Latn-RS"/>
        </w:rPr>
        <w:t>Napomena: Stopa je na 1000 dece</w:t>
      </w:r>
    </w:p>
    <w:p w14:paraId="63524415" w14:textId="77777777" w:rsidR="00EB18B0" w:rsidRPr="00F5183F" w:rsidRDefault="00EB18B0" w:rsidP="00C8228A">
      <w:pPr>
        <w:rPr>
          <w:rFonts w:asciiTheme="minorHAnsi" w:hAnsiTheme="minorHAnsi"/>
          <w:i/>
          <w:highlight w:val="green"/>
          <w:u w:val="single"/>
          <w:lang w:val="sr-Latn-RS"/>
        </w:rPr>
      </w:pPr>
    </w:p>
    <w:p w14:paraId="04E53CF0" w14:textId="3E3A29BB" w:rsidR="00690793" w:rsidRPr="00F5183F" w:rsidRDefault="00690793" w:rsidP="000D2D0F">
      <w:pPr>
        <w:jc w:val="both"/>
        <w:rPr>
          <w:rFonts w:asciiTheme="minorHAnsi" w:hAnsiTheme="minorHAnsi"/>
          <w:lang w:val="sr-Latn-RS"/>
        </w:rPr>
      </w:pPr>
      <w:r w:rsidRPr="00F5183F">
        <w:rPr>
          <w:rFonts w:asciiTheme="minorHAnsi" w:hAnsiTheme="minorHAnsi"/>
          <w:b/>
          <w:i/>
          <w:lang w:val="sr-Latn-RS"/>
        </w:rPr>
        <w:t>Nešto viši procenat stare populacija smešten je u državnim domovima za stare</w:t>
      </w:r>
      <w:r w:rsidRPr="00F5183F">
        <w:rPr>
          <w:rFonts w:asciiTheme="minorHAnsi" w:hAnsiTheme="minorHAnsi"/>
          <w:lang w:val="sr-Latn-RS"/>
        </w:rPr>
        <w:t xml:space="preserve"> </w:t>
      </w:r>
      <w:r w:rsidRPr="00F5183F">
        <w:rPr>
          <w:rFonts w:asciiTheme="minorHAnsi" w:hAnsiTheme="minorHAnsi"/>
          <w:b/>
          <w:bCs/>
          <w:i/>
          <w:iCs/>
          <w:lang w:val="sr-Latn-RS"/>
        </w:rPr>
        <w:t xml:space="preserve">u poređenju sa </w:t>
      </w:r>
      <w:r w:rsidR="000D2D0F" w:rsidRPr="00F5183F">
        <w:rPr>
          <w:rFonts w:asciiTheme="minorHAnsi" w:hAnsiTheme="minorHAnsi"/>
          <w:b/>
          <w:bCs/>
          <w:i/>
          <w:iCs/>
          <w:lang w:val="sr-Latn-RS"/>
        </w:rPr>
        <w:t xml:space="preserve">Republikom </w:t>
      </w:r>
      <w:r w:rsidRPr="00F5183F">
        <w:rPr>
          <w:rFonts w:asciiTheme="minorHAnsi" w:hAnsiTheme="minorHAnsi"/>
          <w:b/>
          <w:bCs/>
          <w:i/>
          <w:iCs/>
          <w:lang w:val="sr-Latn-RS"/>
        </w:rPr>
        <w:t>Srbijom</w:t>
      </w:r>
      <w:r w:rsidR="002004DE" w:rsidRPr="00F5183F">
        <w:rPr>
          <w:rFonts w:asciiTheme="minorHAnsi" w:hAnsiTheme="minorHAnsi"/>
          <w:b/>
          <w:bCs/>
          <w:i/>
          <w:iCs/>
          <w:lang w:val="sr-Latn-RS"/>
        </w:rPr>
        <w:t xml:space="preserve"> </w:t>
      </w:r>
      <w:r w:rsidR="002004DE" w:rsidRPr="00F5183F">
        <w:rPr>
          <w:rFonts w:asciiTheme="minorHAnsi" w:hAnsiTheme="minorHAnsi"/>
          <w:lang w:val="sr-Latn-RS"/>
        </w:rPr>
        <w:t>(Tabela 5)</w:t>
      </w:r>
      <w:r w:rsidR="000D2D0F" w:rsidRPr="00F5183F">
        <w:rPr>
          <w:rFonts w:asciiTheme="minorHAnsi" w:hAnsiTheme="minorHAnsi"/>
          <w:b/>
          <w:bCs/>
          <w:i/>
          <w:iCs/>
          <w:lang w:val="sr-Latn-RS"/>
        </w:rPr>
        <w:t xml:space="preserve">. </w:t>
      </w:r>
      <w:r w:rsidR="000D2D0F" w:rsidRPr="00F5183F">
        <w:rPr>
          <w:rFonts w:asciiTheme="minorHAnsi" w:hAnsiTheme="minorHAnsi"/>
          <w:lang w:val="sr-Latn-RS"/>
        </w:rPr>
        <w:t>S obzirom na snažan porast broja korisnika privatnih domova ovo poređenje postaje sve manje relevantno</w:t>
      </w:r>
      <w:r w:rsidR="00DB1413" w:rsidRPr="00F5183F">
        <w:rPr>
          <w:rFonts w:asciiTheme="minorHAnsi" w:hAnsiTheme="minorHAnsi"/>
          <w:lang w:val="sr-Latn-RS"/>
        </w:rPr>
        <w:t>.</w:t>
      </w:r>
      <w:r w:rsidR="00DB1413" w:rsidRPr="00F5183F">
        <w:rPr>
          <w:rStyle w:val="FootnoteReference"/>
          <w:rFonts w:asciiTheme="minorHAnsi" w:hAnsiTheme="minorHAnsi"/>
          <w:lang w:val="sr-Latn-RS"/>
        </w:rPr>
        <w:footnoteReference w:id="13"/>
      </w:r>
      <w:r w:rsidRPr="00F5183F">
        <w:rPr>
          <w:rFonts w:asciiTheme="minorHAnsi" w:hAnsiTheme="minorHAnsi"/>
          <w:lang w:val="sr-Latn-RS"/>
        </w:rPr>
        <w:t xml:space="preserve"> </w:t>
      </w:r>
    </w:p>
    <w:p w14:paraId="77233FCB" w14:textId="77777777" w:rsidR="00690793" w:rsidRPr="00F5183F" w:rsidRDefault="00690793" w:rsidP="00C8228A">
      <w:pPr>
        <w:rPr>
          <w:rFonts w:asciiTheme="minorHAnsi" w:hAnsiTheme="minorHAnsi"/>
          <w:i/>
          <w:u w:val="single"/>
          <w:lang w:val="sr-Latn-RS"/>
        </w:rPr>
      </w:pPr>
    </w:p>
    <w:p w14:paraId="53939BAE" w14:textId="77777777" w:rsidR="005C1C9E" w:rsidRPr="00F5183F" w:rsidRDefault="005C1C9E" w:rsidP="005C1C9E">
      <w:pPr>
        <w:rPr>
          <w:rFonts w:asciiTheme="minorHAnsi" w:hAnsiTheme="minorHAnsi" w:cstheme="minorHAnsi"/>
          <w:b/>
          <w:bCs/>
          <w:i/>
          <w:iCs/>
          <w:sz w:val="28"/>
          <w:szCs w:val="28"/>
          <w:lang w:val="sr-Latn-RS"/>
        </w:rPr>
      </w:pPr>
      <w:r w:rsidRPr="00F5183F">
        <w:rPr>
          <w:rFonts w:asciiTheme="minorHAnsi" w:hAnsiTheme="minorHAnsi" w:cstheme="minorHAnsi"/>
          <w:b/>
          <w:bCs/>
          <w:i/>
          <w:iCs/>
          <w:sz w:val="28"/>
          <w:szCs w:val="28"/>
          <w:lang w:val="sr-Latn-RS"/>
        </w:rPr>
        <w:lastRenderedPageBreak/>
        <w:t>SOCIJALNA ZAŠTITA U MANDATU LOKALNIH SAMOUPRAVA</w:t>
      </w:r>
    </w:p>
    <w:p w14:paraId="60C83DC6" w14:textId="77777777" w:rsidR="005C1C9E" w:rsidRPr="00F5183F" w:rsidRDefault="005C1C9E" w:rsidP="005C1C9E">
      <w:pPr>
        <w:rPr>
          <w:rFonts w:asciiTheme="minorHAnsi" w:hAnsiTheme="minorHAnsi"/>
          <w:iCs/>
          <w:lang w:val="sr-Latn-RS"/>
        </w:rPr>
      </w:pPr>
    </w:p>
    <w:p w14:paraId="7CF6AD6B" w14:textId="1C5A7B11" w:rsidR="005C1C9E" w:rsidRPr="00F5183F" w:rsidRDefault="005C1C9E" w:rsidP="005C1C9E">
      <w:pPr>
        <w:rPr>
          <w:rFonts w:asciiTheme="minorHAnsi" w:hAnsiTheme="minorHAnsi" w:cstheme="minorHAnsi"/>
          <w:b/>
          <w:bCs/>
          <w:lang w:val="sr-Latn-RS"/>
        </w:rPr>
      </w:pPr>
      <w:r w:rsidRPr="00F5183F">
        <w:rPr>
          <w:rFonts w:asciiTheme="minorHAnsi" w:hAnsiTheme="minorHAnsi" w:cstheme="minorHAnsi"/>
          <w:b/>
          <w:bCs/>
          <w:lang w:val="sr-Latn-RS"/>
        </w:rPr>
        <w:t>Mandat</w:t>
      </w:r>
      <w:r w:rsidR="009023EE" w:rsidRPr="00F5183F">
        <w:rPr>
          <w:rFonts w:asciiTheme="minorHAnsi" w:hAnsiTheme="minorHAnsi" w:cstheme="minorHAnsi"/>
          <w:b/>
          <w:bCs/>
          <w:lang w:val="sr-Latn-RS"/>
        </w:rPr>
        <w:t xml:space="preserve"> i </w:t>
      </w:r>
      <w:r w:rsidRPr="00F5183F">
        <w:rPr>
          <w:rFonts w:asciiTheme="minorHAnsi" w:hAnsiTheme="minorHAnsi" w:cstheme="minorHAnsi"/>
          <w:b/>
          <w:bCs/>
          <w:lang w:val="sr-Latn-RS"/>
        </w:rPr>
        <w:t>budžetski rashodi opštine za socijalnu zaštitu</w:t>
      </w:r>
    </w:p>
    <w:p w14:paraId="1E67CF92" w14:textId="77777777" w:rsidR="005C1C9E" w:rsidRPr="00F5183F" w:rsidRDefault="005C1C9E" w:rsidP="005C1C9E">
      <w:pPr>
        <w:rPr>
          <w:rFonts w:asciiTheme="minorHAnsi" w:hAnsiTheme="minorHAnsi" w:cstheme="minorHAnsi"/>
          <w:bCs/>
          <w:smallCaps/>
          <w:lang w:val="sr-Latn-RS"/>
        </w:rPr>
      </w:pPr>
    </w:p>
    <w:p w14:paraId="0F92C485" w14:textId="04C1D2F5" w:rsidR="005C1C9E" w:rsidRPr="00F5183F" w:rsidRDefault="005C1C9E" w:rsidP="005C1C9E">
      <w:pPr>
        <w:rPr>
          <w:rFonts w:asciiTheme="minorHAnsi" w:hAnsiTheme="minorHAnsi"/>
          <w:lang w:val="sr-Latn-RS"/>
        </w:rPr>
      </w:pPr>
      <w:r w:rsidRPr="00F5183F">
        <w:rPr>
          <w:rFonts w:asciiTheme="minorHAnsi" w:hAnsiTheme="minorHAnsi"/>
          <w:lang w:val="sr-Latn-RS"/>
        </w:rPr>
        <w:t>U oblasti socijalne zaštite</w:t>
      </w:r>
      <w:r w:rsidR="009023EE" w:rsidRPr="00F5183F">
        <w:rPr>
          <w:rFonts w:asciiTheme="minorHAnsi" w:hAnsiTheme="minorHAnsi"/>
          <w:lang w:val="sr-Latn-RS"/>
        </w:rPr>
        <w:t xml:space="preserve"> pored nacionalnog nivoa</w:t>
      </w:r>
      <w:r w:rsidRPr="00F5183F">
        <w:rPr>
          <w:rFonts w:asciiTheme="minorHAnsi" w:hAnsiTheme="minorHAnsi"/>
          <w:lang w:val="sr-Latn-RS"/>
        </w:rPr>
        <w:t xml:space="preserve"> i jedinice lokalne samouprave obezbeđuju pojedine usluge i dodeljuju različite vrste novčanih davanja i pomoć u naturi. </w:t>
      </w:r>
    </w:p>
    <w:p w14:paraId="0C89E9CD" w14:textId="77777777" w:rsidR="005C1C9E" w:rsidRPr="00F5183F" w:rsidRDefault="005C1C9E" w:rsidP="005C1C9E">
      <w:pPr>
        <w:rPr>
          <w:rFonts w:asciiTheme="minorHAnsi" w:hAnsiTheme="minorHAnsi"/>
          <w:lang w:val="sr-Latn-RS"/>
        </w:rPr>
      </w:pPr>
    </w:p>
    <w:p w14:paraId="21DB1BE4" w14:textId="77777777" w:rsidR="005C1C9E" w:rsidRPr="00F5183F" w:rsidRDefault="005C1C9E" w:rsidP="005C1C9E">
      <w:pPr>
        <w:rPr>
          <w:rFonts w:asciiTheme="minorHAnsi" w:hAnsiTheme="minorHAnsi"/>
          <w:lang w:val="sr-Latn-RS"/>
        </w:rPr>
      </w:pPr>
      <w:r w:rsidRPr="00F5183F">
        <w:rPr>
          <w:rFonts w:asciiTheme="minorHAnsi" w:hAnsiTheme="minorHAnsi"/>
          <w:lang w:val="sr-Latn-RS"/>
        </w:rPr>
        <w:t>Među uslugama socijalne zaštite u nadležnosti  JLS su:</w:t>
      </w:r>
    </w:p>
    <w:p w14:paraId="6DC9B911" w14:textId="27AC5BFD" w:rsidR="005C1C9E" w:rsidRPr="00F5183F" w:rsidRDefault="005C1C9E" w:rsidP="005C1C9E">
      <w:pPr>
        <w:pStyle w:val="ListParagraph"/>
        <w:numPr>
          <w:ilvl w:val="0"/>
          <w:numId w:val="6"/>
        </w:numPr>
        <w:tabs>
          <w:tab w:val="left" w:pos="360"/>
        </w:tabs>
        <w:autoSpaceDE w:val="0"/>
        <w:autoSpaceDN w:val="0"/>
        <w:adjustRightInd w:val="0"/>
        <w:ind w:left="360"/>
        <w:jc w:val="both"/>
        <w:rPr>
          <w:bCs/>
          <w:lang w:val="sr-Latn-RS"/>
        </w:rPr>
      </w:pPr>
      <w:r w:rsidRPr="00F5183F">
        <w:rPr>
          <w:bCs/>
          <w:i/>
          <w:lang w:val="sr-Latn-RS"/>
        </w:rPr>
        <w:t xml:space="preserve">Dnevne usluge u zajednici -  </w:t>
      </w:r>
      <w:r w:rsidRPr="00F5183F">
        <w:rPr>
          <w:bCs/>
          <w:lang w:val="sr-Latn-RS"/>
        </w:rPr>
        <w:t xml:space="preserve">dnevni boravak, pomoć u kući, lični pratilac deteta  i svratište </w:t>
      </w:r>
    </w:p>
    <w:p w14:paraId="6ECDA6B3" w14:textId="6DADAA5B" w:rsidR="005C1C9E" w:rsidRPr="00F5183F" w:rsidRDefault="005C1C9E" w:rsidP="005C1C9E">
      <w:pPr>
        <w:pStyle w:val="ListParagraph"/>
        <w:numPr>
          <w:ilvl w:val="0"/>
          <w:numId w:val="7"/>
        </w:numPr>
        <w:spacing w:after="120"/>
        <w:ind w:left="360"/>
        <w:jc w:val="both"/>
        <w:rPr>
          <w:bCs/>
          <w:lang w:val="sr-Latn-RS"/>
        </w:rPr>
      </w:pPr>
      <w:r w:rsidRPr="00F5183F">
        <w:rPr>
          <w:bCs/>
          <w:i/>
          <w:lang w:val="sr-Latn-RS"/>
        </w:rPr>
        <w:t>Usluge podrške za samostalni život</w:t>
      </w:r>
      <w:r w:rsidRPr="00F5183F">
        <w:rPr>
          <w:rFonts w:eastAsia="Times New Roman" w:cs="Times New Roman"/>
          <w:bCs/>
          <w:i/>
          <w:lang w:val="sr-Latn-RS" w:eastAsia="en-GB"/>
        </w:rPr>
        <w:t xml:space="preserve"> - </w:t>
      </w:r>
      <w:r w:rsidRPr="00F5183F">
        <w:rPr>
          <w:rFonts w:eastAsia="Times New Roman" w:cs="Times New Roman"/>
          <w:bCs/>
          <w:iCs/>
          <w:lang w:val="sr-Latn-RS" w:eastAsia="en-GB"/>
        </w:rPr>
        <w:t>p</w:t>
      </w:r>
      <w:r w:rsidRPr="00F5183F">
        <w:rPr>
          <w:bCs/>
          <w:lang w:val="sr-Latn-RS"/>
        </w:rPr>
        <w:t>ersonalna asistencija, stanovanje uz podršku za mlade koji napuštaju sistem socijalne zaštit</w:t>
      </w:r>
      <w:r w:rsidR="002004DE" w:rsidRPr="00F5183F">
        <w:rPr>
          <w:bCs/>
          <w:lang w:val="sr-Latn-RS"/>
        </w:rPr>
        <w:t>e</w:t>
      </w:r>
      <w:r w:rsidRPr="00F5183F">
        <w:rPr>
          <w:bCs/>
          <w:lang w:val="sr-Latn-RS"/>
        </w:rPr>
        <w:t xml:space="preserve"> i stanovanje uz podršku za osobe s invaliditetom</w:t>
      </w:r>
      <w:r w:rsidRPr="00F5183F">
        <w:rPr>
          <w:bCs/>
          <w:vertAlign w:val="superscript"/>
          <w:lang w:val="sr-Latn-RS"/>
        </w:rPr>
        <w:t xml:space="preserve"> </w:t>
      </w:r>
      <w:r w:rsidRPr="00F5183F">
        <w:rPr>
          <w:bCs/>
          <w:lang w:val="sr-Latn-RS"/>
        </w:rPr>
        <w:t>u JLS koje su prema stepenu razvijenosti iznad republičkog proseka</w:t>
      </w:r>
    </w:p>
    <w:p w14:paraId="62812606" w14:textId="7EDD1A6C" w:rsidR="005C1C9E" w:rsidRPr="00F5183F" w:rsidRDefault="005C1C9E" w:rsidP="005C1C9E">
      <w:pPr>
        <w:pStyle w:val="ListParagraph"/>
        <w:numPr>
          <w:ilvl w:val="0"/>
          <w:numId w:val="8"/>
        </w:numPr>
        <w:tabs>
          <w:tab w:val="left" w:pos="360"/>
        </w:tabs>
        <w:autoSpaceDE w:val="0"/>
        <w:autoSpaceDN w:val="0"/>
        <w:adjustRightInd w:val="0"/>
        <w:ind w:left="360"/>
        <w:jc w:val="both"/>
        <w:rPr>
          <w:bCs/>
          <w:lang w:val="sr-Latn-RS"/>
        </w:rPr>
      </w:pPr>
      <w:r w:rsidRPr="00F5183F">
        <w:rPr>
          <w:bCs/>
          <w:i/>
          <w:lang w:val="sr-Latn-RS"/>
        </w:rPr>
        <w:t>Usluge smeštaja</w:t>
      </w:r>
      <w:r w:rsidRPr="00F5183F">
        <w:rPr>
          <w:bCs/>
          <w:lang w:val="sr-Latn-RS"/>
        </w:rPr>
        <w:t xml:space="preserve"> - </w:t>
      </w:r>
      <w:r w:rsidRPr="00F5183F">
        <w:rPr>
          <w:rFonts w:eastAsia="Times New Roman" w:cs="Times New Roman"/>
          <w:bCs/>
          <w:iCs/>
          <w:lang w:val="sr-Latn-RS" w:eastAsia="en-GB"/>
        </w:rPr>
        <w:t>s</w:t>
      </w:r>
      <w:r w:rsidRPr="00F5183F">
        <w:rPr>
          <w:bCs/>
          <w:lang w:val="sr-Latn-RS"/>
        </w:rPr>
        <w:t xml:space="preserve">meštaj u prihvatilište (za žrtve nasilja, žrtve trgovine ljudima) i predah smeštaj </w:t>
      </w:r>
    </w:p>
    <w:p w14:paraId="0F9C9DE8" w14:textId="77777777" w:rsidR="005C1C9E" w:rsidRPr="00F5183F" w:rsidRDefault="005C1C9E" w:rsidP="005C1C9E">
      <w:pPr>
        <w:pStyle w:val="ListParagraph"/>
        <w:numPr>
          <w:ilvl w:val="0"/>
          <w:numId w:val="9"/>
        </w:numPr>
        <w:tabs>
          <w:tab w:val="left" w:pos="360"/>
        </w:tabs>
        <w:autoSpaceDE w:val="0"/>
        <w:autoSpaceDN w:val="0"/>
        <w:adjustRightInd w:val="0"/>
        <w:ind w:left="360"/>
        <w:jc w:val="both"/>
        <w:rPr>
          <w:bCs/>
          <w:lang w:val="sr-Latn-RS"/>
        </w:rPr>
      </w:pPr>
      <w:r w:rsidRPr="00F5183F">
        <w:rPr>
          <w:bCs/>
          <w:i/>
          <w:lang w:val="sr-Latn-RS"/>
        </w:rPr>
        <w:t>Savetodavno-terapijske i socijalnoedukativne usluge</w:t>
      </w:r>
    </w:p>
    <w:p w14:paraId="06628C13" w14:textId="77777777" w:rsidR="005C1C9E" w:rsidRPr="00F5183F" w:rsidRDefault="005C1C9E" w:rsidP="005C1C9E">
      <w:pPr>
        <w:rPr>
          <w:rFonts w:asciiTheme="minorHAnsi" w:hAnsiTheme="minorHAnsi" w:cstheme="minorHAnsi"/>
          <w:bCs/>
          <w:smallCaps/>
          <w:strike/>
          <w:lang w:val="sr-Latn-RS"/>
        </w:rPr>
      </w:pPr>
    </w:p>
    <w:p w14:paraId="0DA470A0" w14:textId="456C43C6" w:rsidR="005C1C9E" w:rsidRPr="00F5183F" w:rsidRDefault="005C1C9E" w:rsidP="005C1C9E">
      <w:pPr>
        <w:spacing w:after="120"/>
        <w:jc w:val="both"/>
        <w:rPr>
          <w:rFonts w:asciiTheme="minorHAnsi" w:hAnsiTheme="minorHAnsi"/>
          <w:lang w:val="sr-Latn-RS"/>
        </w:rPr>
      </w:pPr>
      <w:r w:rsidRPr="00F5183F">
        <w:rPr>
          <w:rFonts w:asciiTheme="minorHAnsi" w:hAnsiTheme="minorHAnsi"/>
          <w:color w:val="000000"/>
          <w:lang w:val="sr-Latn-RS"/>
        </w:rPr>
        <w:t xml:space="preserve">Među socijalnim davanjima u nadležnosti JLS je jednokratna pomoć koja se dodeljuje u slučaju </w:t>
      </w:r>
      <w:r w:rsidRPr="00F5183F">
        <w:rPr>
          <w:rFonts w:asciiTheme="minorHAnsi" w:hAnsiTheme="minorHAnsi"/>
          <w:color w:val="000000"/>
          <w:shd w:val="clear" w:color="auto" w:fill="FFFFFF"/>
          <w:lang w:val="sr-Latn-RS"/>
        </w:rPr>
        <w:t>iznenadnog ili trenutnog stanja socijalne potrebe ili eventualno pri upućivanju na uslugu smeštaja. Opštine i gradovi obezbeđuju i druge vrste pomoći (narodne kuhinje, subvencije..).  JLS pružaju i materijalnu podršku porodicama sa decom koja se često dodeljuje sa ciljem podsticanja rađanja (</w:t>
      </w:r>
      <w:r w:rsidRPr="00F5183F">
        <w:rPr>
          <w:rFonts w:asciiTheme="minorHAnsi" w:hAnsiTheme="minorHAnsi"/>
          <w:color w:val="000000"/>
          <w:lang w:val="sr-Latn-RS"/>
        </w:rPr>
        <w:t>davanja prilikom rođenja deteta, pomoć nezaposlenim porodiljama, davanja roditeljima blizanaca i sl</w:t>
      </w:r>
      <w:r w:rsidR="009023EE" w:rsidRPr="00F5183F">
        <w:rPr>
          <w:rFonts w:asciiTheme="minorHAnsi" w:hAnsiTheme="minorHAnsi"/>
          <w:color w:val="000000"/>
          <w:lang w:val="sr-Latn-RS"/>
        </w:rPr>
        <w:t>.)</w:t>
      </w:r>
      <w:r w:rsidRPr="00F5183F">
        <w:rPr>
          <w:rFonts w:asciiTheme="minorHAnsi" w:hAnsiTheme="minorHAnsi"/>
          <w:color w:val="000000"/>
          <w:lang w:val="sr-Latn-RS"/>
        </w:rPr>
        <w:t xml:space="preserve">. </w:t>
      </w:r>
      <w:r w:rsidRPr="00F5183F">
        <w:rPr>
          <w:rStyle w:val="FootnoteReference"/>
          <w:rFonts w:asciiTheme="minorHAnsi" w:hAnsiTheme="minorHAnsi"/>
          <w:color w:val="000000"/>
          <w:shd w:val="clear" w:color="auto" w:fill="FFFFFF"/>
          <w:lang w:val="sr-Latn-RS"/>
        </w:rPr>
        <w:footnoteReference w:id="14"/>
      </w:r>
    </w:p>
    <w:p w14:paraId="788154AE" w14:textId="6570D99F" w:rsidR="005C1C9E" w:rsidRPr="00F5183F" w:rsidRDefault="005C1C9E" w:rsidP="005C1C9E">
      <w:pPr>
        <w:rPr>
          <w:rFonts w:asciiTheme="minorHAnsi" w:hAnsiTheme="minorHAnsi" w:cstheme="minorHAnsi"/>
          <w:b/>
          <w:smallCaps/>
          <w:strike/>
          <w:lang w:val="sr-Latn-RS"/>
        </w:rPr>
      </w:pPr>
    </w:p>
    <w:p w14:paraId="3EF091A9" w14:textId="77777777" w:rsidR="00140523" w:rsidRPr="00F5183F" w:rsidRDefault="00140523" w:rsidP="00140523">
      <w:pPr>
        <w:spacing w:after="120"/>
        <w:jc w:val="both"/>
        <w:rPr>
          <w:rFonts w:asciiTheme="minorHAnsi" w:hAnsiTheme="minorHAnsi"/>
          <w:lang w:val="sr-Latn-RS"/>
        </w:rPr>
      </w:pPr>
      <w:r w:rsidRPr="00F5183F">
        <w:rPr>
          <w:rFonts w:asciiTheme="minorHAnsi" w:hAnsiTheme="minorHAnsi"/>
          <w:lang w:val="sr-Latn-RS"/>
        </w:rPr>
        <w:t>Lokalne samouprave finansiraju i plate zaposlenih u centrima za socijalni rad koji se staraju o pravima u nadležnosti lokalnog nivoa.</w:t>
      </w:r>
    </w:p>
    <w:p w14:paraId="149A9E03" w14:textId="44222423" w:rsidR="005C1C9E" w:rsidRPr="00F5183F" w:rsidRDefault="005C1C9E" w:rsidP="005C1C9E">
      <w:pPr>
        <w:jc w:val="both"/>
        <w:rPr>
          <w:rFonts w:asciiTheme="minorHAnsi" w:hAnsiTheme="minorHAnsi" w:cstheme="minorHAnsi"/>
          <w:bCs/>
          <w:iCs/>
          <w:lang w:val="sr-Latn-RS"/>
        </w:rPr>
      </w:pPr>
      <w:r w:rsidRPr="00F5183F">
        <w:rPr>
          <w:rFonts w:asciiTheme="minorHAnsi" w:hAnsiTheme="minorHAnsi" w:cstheme="minorHAnsi"/>
          <w:b/>
          <w:i/>
          <w:lang w:val="sr-Latn-RS"/>
        </w:rPr>
        <w:t>Prema podacima 2019. godine</w:t>
      </w:r>
      <w:r w:rsidR="009023EE" w:rsidRPr="00F5183F">
        <w:rPr>
          <w:rFonts w:asciiTheme="minorHAnsi" w:hAnsiTheme="minorHAnsi" w:cstheme="minorHAnsi"/>
          <w:b/>
          <w:i/>
          <w:lang w:val="sr-Latn-RS"/>
        </w:rPr>
        <w:t xml:space="preserve">, </w:t>
      </w:r>
      <w:r w:rsidRPr="00F5183F">
        <w:rPr>
          <w:rFonts w:asciiTheme="minorHAnsi" w:hAnsiTheme="minorHAnsi" w:cstheme="minorHAnsi"/>
          <w:b/>
          <w:i/>
          <w:lang w:val="sr-Latn-RS"/>
        </w:rPr>
        <w:t xml:space="preserve">na osnovu funkcionalne klasifikacije, </w:t>
      </w:r>
      <w:r w:rsidR="00633801" w:rsidRPr="00F5183F">
        <w:rPr>
          <w:rFonts w:asciiTheme="minorHAnsi" w:hAnsiTheme="minorHAnsi" w:cstheme="minorHAnsi"/>
          <w:b/>
          <w:i/>
          <w:lang w:val="sr-Latn-RS"/>
        </w:rPr>
        <w:t>ukupni rashodi za socijalnu zaštitu u opštini Bač iznosili su približno</w:t>
      </w:r>
      <w:r w:rsidR="00B31AF7" w:rsidRPr="00F5183F">
        <w:rPr>
          <w:rFonts w:asciiTheme="minorHAnsi" w:hAnsiTheme="minorHAnsi" w:cstheme="minorHAnsi"/>
          <w:b/>
          <w:i/>
          <w:lang w:val="sr-Latn-RS"/>
        </w:rPr>
        <w:t xml:space="preserve"> </w:t>
      </w:r>
      <w:r w:rsidR="00ED26B8" w:rsidRPr="00F5183F">
        <w:rPr>
          <w:rFonts w:asciiTheme="minorHAnsi" w:hAnsiTheme="minorHAnsi" w:cstheme="minorHAnsi"/>
          <w:b/>
          <w:i/>
          <w:lang w:val="sr-Latn-RS"/>
        </w:rPr>
        <w:t>29,2</w:t>
      </w:r>
      <w:r w:rsidR="00B31AF7" w:rsidRPr="00F5183F">
        <w:rPr>
          <w:rFonts w:asciiTheme="minorHAnsi" w:hAnsiTheme="minorHAnsi" w:cstheme="minorHAnsi"/>
          <w:b/>
          <w:i/>
          <w:lang w:val="sr-Latn-RS"/>
        </w:rPr>
        <w:t xml:space="preserve"> miliona RSD</w:t>
      </w:r>
      <w:r w:rsidR="00633801" w:rsidRPr="00F5183F">
        <w:rPr>
          <w:rFonts w:asciiTheme="minorHAnsi" w:hAnsiTheme="minorHAnsi" w:cstheme="minorHAnsi"/>
          <w:b/>
          <w:i/>
          <w:lang w:val="sr-Latn-RS"/>
        </w:rPr>
        <w:t xml:space="preserve">, </w:t>
      </w:r>
      <w:r w:rsidRPr="00F5183F">
        <w:rPr>
          <w:rFonts w:asciiTheme="minorHAnsi" w:hAnsiTheme="minorHAnsi" w:cstheme="minorHAnsi"/>
          <w:b/>
          <w:i/>
          <w:lang w:val="sr-Latn-RS"/>
        </w:rPr>
        <w:t xml:space="preserve"> </w:t>
      </w:r>
      <w:r w:rsidR="00D65C76" w:rsidRPr="00F5183F">
        <w:rPr>
          <w:rFonts w:asciiTheme="minorHAnsi" w:hAnsiTheme="minorHAnsi" w:cstheme="minorHAnsi"/>
          <w:b/>
          <w:i/>
          <w:lang w:val="sr-Latn-RS"/>
        </w:rPr>
        <w:t>4</w:t>
      </w:r>
      <w:r w:rsidRPr="00F5183F">
        <w:rPr>
          <w:rFonts w:asciiTheme="minorHAnsi" w:hAnsiTheme="minorHAnsi" w:cstheme="minorHAnsi"/>
          <w:b/>
          <w:i/>
          <w:lang w:val="sr-Latn-RS"/>
        </w:rPr>
        <w:t>,</w:t>
      </w:r>
      <w:r w:rsidR="00D65C76" w:rsidRPr="00F5183F">
        <w:rPr>
          <w:rFonts w:asciiTheme="minorHAnsi" w:hAnsiTheme="minorHAnsi" w:cstheme="minorHAnsi"/>
          <w:b/>
          <w:i/>
          <w:lang w:val="sr-Latn-RS"/>
        </w:rPr>
        <w:t>6</w:t>
      </w:r>
      <w:r w:rsidRPr="00F5183F">
        <w:rPr>
          <w:rFonts w:asciiTheme="minorHAnsi" w:hAnsiTheme="minorHAnsi" w:cstheme="minorHAnsi"/>
          <w:b/>
          <w:i/>
          <w:lang w:val="sr-Latn-RS"/>
        </w:rPr>
        <w:t>% opštinskog budžeta</w:t>
      </w:r>
      <w:r w:rsidR="00633801" w:rsidRPr="00F5183F">
        <w:rPr>
          <w:rFonts w:asciiTheme="minorHAnsi" w:hAnsiTheme="minorHAnsi" w:cstheme="minorHAnsi"/>
          <w:b/>
          <w:i/>
          <w:lang w:val="sr-Latn-RS"/>
        </w:rPr>
        <w:t>. Ovaj udeo</w:t>
      </w:r>
      <w:r w:rsidRPr="00F5183F">
        <w:rPr>
          <w:rFonts w:asciiTheme="minorHAnsi" w:hAnsiTheme="minorHAnsi" w:cstheme="minorHAnsi"/>
          <w:b/>
          <w:i/>
          <w:lang w:val="sr-Latn-RS"/>
        </w:rPr>
        <w:t xml:space="preserve"> </w:t>
      </w:r>
      <w:r w:rsidR="00633801" w:rsidRPr="00F5183F">
        <w:rPr>
          <w:rFonts w:asciiTheme="minorHAnsi" w:hAnsiTheme="minorHAnsi" w:cstheme="minorHAnsi"/>
          <w:b/>
          <w:i/>
          <w:lang w:val="sr-Latn-RS"/>
        </w:rPr>
        <w:t>je</w:t>
      </w:r>
      <w:r w:rsidRPr="00F5183F">
        <w:rPr>
          <w:rFonts w:asciiTheme="minorHAnsi" w:hAnsiTheme="minorHAnsi" w:cstheme="minorHAnsi"/>
          <w:b/>
          <w:i/>
          <w:lang w:val="sr-Latn-RS"/>
        </w:rPr>
        <w:t xml:space="preserve"> </w:t>
      </w:r>
      <w:r w:rsidR="00D65C76" w:rsidRPr="00F5183F">
        <w:rPr>
          <w:rFonts w:asciiTheme="minorHAnsi" w:hAnsiTheme="minorHAnsi" w:cstheme="minorHAnsi"/>
          <w:b/>
          <w:i/>
          <w:lang w:val="sr-Latn-RS"/>
        </w:rPr>
        <w:t xml:space="preserve">niži </w:t>
      </w:r>
      <w:r w:rsidR="00633801" w:rsidRPr="00F5183F">
        <w:rPr>
          <w:rFonts w:asciiTheme="minorHAnsi" w:hAnsiTheme="minorHAnsi" w:cstheme="minorHAnsi"/>
          <w:b/>
          <w:i/>
          <w:lang w:val="sr-Latn-RS"/>
        </w:rPr>
        <w:t xml:space="preserve">od </w:t>
      </w:r>
      <w:r w:rsidRPr="00F5183F">
        <w:rPr>
          <w:rFonts w:asciiTheme="minorHAnsi" w:hAnsiTheme="minorHAnsi" w:cstheme="minorHAnsi"/>
          <w:b/>
          <w:i/>
          <w:lang w:val="sr-Latn-RS"/>
        </w:rPr>
        <w:t xml:space="preserve">proseka izdvajanja za socijalnu zaštitu jedinica lokalne samouprave u Srbiji (5-6%). </w:t>
      </w:r>
      <w:r w:rsidRPr="00F5183F">
        <w:rPr>
          <w:rFonts w:asciiTheme="minorHAnsi" w:hAnsiTheme="minorHAnsi" w:cstheme="minorHAnsi"/>
          <w:bCs/>
          <w:iCs/>
          <w:lang w:val="sr-Latn-RS"/>
        </w:rPr>
        <w:t xml:space="preserve">U opštini </w:t>
      </w:r>
      <w:r w:rsidR="00D65C76" w:rsidRPr="00F5183F">
        <w:rPr>
          <w:rFonts w:asciiTheme="minorHAnsi" w:hAnsiTheme="minorHAnsi" w:cstheme="minorHAnsi"/>
          <w:bCs/>
          <w:iCs/>
          <w:lang w:val="sr-Latn-RS"/>
        </w:rPr>
        <w:t>Bač</w:t>
      </w:r>
      <w:r w:rsidRPr="00F5183F">
        <w:rPr>
          <w:rFonts w:asciiTheme="minorHAnsi" w:hAnsiTheme="minorHAnsi" w:cstheme="minorHAnsi"/>
          <w:bCs/>
          <w:iCs/>
          <w:lang w:val="sr-Latn-RS"/>
        </w:rPr>
        <w:t xml:space="preserve"> udeo rashoda za ove namene </w:t>
      </w:r>
      <w:r w:rsidR="00D65C76" w:rsidRPr="00F5183F">
        <w:rPr>
          <w:rFonts w:asciiTheme="minorHAnsi" w:hAnsiTheme="minorHAnsi" w:cstheme="minorHAnsi"/>
          <w:bCs/>
          <w:iCs/>
          <w:lang w:val="sr-Latn-RS"/>
        </w:rPr>
        <w:t>s</w:t>
      </w:r>
      <w:r w:rsidRPr="00F5183F">
        <w:rPr>
          <w:rFonts w:asciiTheme="minorHAnsi" w:hAnsiTheme="minorHAnsi" w:cstheme="minorHAnsi"/>
          <w:bCs/>
          <w:iCs/>
          <w:lang w:val="sr-Latn-RS"/>
        </w:rPr>
        <w:t xml:space="preserve">e tokom vremena </w:t>
      </w:r>
      <w:r w:rsidR="00D65C76" w:rsidRPr="00F5183F">
        <w:rPr>
          <w:rFonts w:asciiTheme="minorHAnsi" w:hAnsiTheme="minorHAnsi" w:cstheme="minorHAnsi"/>
          <w:bCs/>
          <w:iCs/>
          <w:lang w:val="sr-Latn-RS"/>
        </w:rPr>
        <w:t>povećavao (Grafiko</w:t>
      </w:r>
      <w:r w:rsidR="00633801" w:rsidRPr="00F5183F">
        <w:rPr>
          <w:rFonts w:asciiTheme="minorHAnsi" w:hAnsiTheme="minorHAnsi" w:cstheme="minorHAnsi"/>
          <w:bCs/>
          <w:iCs/>
          <w:lang w:val="sr-Latn-RS"/>
        </w:rPr>
        <w:t>n</w:t>
      </w:r>
      <w:r w:rsidR="00D65C76" w:rsidRPr="00F5183F">
        <w:rPr>
          <w:rFonts w:asciiTheme="minorHAnsi" w:hAnsiTheme="minorHAnsi" w:cstheme="minorHAnsi"/>
          <w:bCs/>
          <w:iCs/>
          <w:lang w:val="sr-Latn-RS"/>
        </w:rPr>
        <w:t xml:space="preserve"> 4)</w:t>
      </w:r>
      <w:r w:rsidRPr="00F5183F">
        <w:rPr>
          <w:rFonts w:asciiTheme="minorHAnsi" w:hAnsiTheme="minorHAnsi" w:cstheme="minorHAnsi"/>
          <w:bCs/>
          <w:iCs/>
          <w:lang w:val="sr-Latn-RS"/>
        </w:rPr>
        <w:t xml:space="preserve">. U proseku je udeo poslednjih 5 godina iznosio </w:t>
      </w:r>
      <w:r w:rsidR="00D65C76" w:rsidRPr="00F5183F">
        <w:rPr>
          <w:rFonts w:asciiTheme="minorHAnsi" w:hAnsiTheme="minorHAnsi" w:cstheme="minorHAnsi"/>
          <w:bCs/>
          <w:iCs/>
          <w:lang w:val="sr-Latn-RS"/>
        </w:rPr>
        <w:t>3</w:t>
      </w:r>
      <w:r w:rsidRPr="00F5183F">
        <w:rPr>
          <w:rFonts w:asciiTheme="minorHAnsi" w:hAnsiTheme="minorHAnsi" w:cstheme="minorHAnsi"/>
          <w:bCs/>
          <w:iCs/>
          <w:lang w:val="sr-Latn-RS"/>
        </w:rPr>
        <w:t>,</w:t>
      </w:r>
      <w:r w:rsidR="00D65C76" w:rsidRPr="00F5183F">
        <w:rPr>
          <w:rFonts w:asciiTheme="minorHAnsi" w:hAnsiTheme="minorHAnsi" w:cstheme="minorHAnsi"/>
          <w:bCs/>
          <w:iCs/>
          <w:lang w:val="sr-Latn-RS"/>
        </w:rPr>
        <w:t>8</w:t>
      </w:r>
      <w:r w:rsidRPr="00F5183F">
        <w:rPr>
          <w:rFonts w:asciiTheme="minorHAnsi" w:hAnsiTheme="minorHAnsi" w:cstheme="minorHAnsi"/>
          <w:bCs/>
          <w:iCs/>
          <w:lang w:val="sr-Latn-RS"/>
        </w:rPr>
        <w:t>%.</w:t>
      </w:r>
    </w:p>
    <w:p w14:paraId="75CF901B" w14:textId="77777777" w:rsidR="00103345" w:rsidRDefault="00103345" w:rsidP="005C1C9E">
      <w:pPr>
        <w:jc w:val="both"/>
        <w:rPr>
          <w:rFonts w:asciiTheme="minorHAnsi" w:hAnsiTheme="minorHAnsi"/>
          <w:bCs/>
          <w:iCs/>
          <w:lang w:val="sr-Latn-RS"/>
        </w:rPr>
        <w:sectPr w:rsidR="00103345" w:rsidSect="00B53F4E">
          <w:pgSz w:w="12240" w:h="15840"/>
          <w:pgMar w:top="1440" w:right="1440" w:bottom="1440" w:left="1440" w:header="720" w:footer="720" w:gutter="0"/>
          <w:cols w:space="720"/>
          <w:docGrid w:linePitch="360"/>
        </w:sectPr>
      </w:pPr>
    </w:p>
    <w:p w14:paraId="6BA87804" w14:textId="5F2E63FC" w:rsidR="00D65C76" w:rsidRPr="00F5183F" w:rsidRDefault="005C1C9E" w:rsidP="005C1C9E">
      <w:pPr>
        <w:jc w:val="both"/>
        <w:rPr>
          <w:rFonts w:asciiTheme="minorHAnsi" w:hAnsiTheme="minorHAnsi" w:cstheme="minorHAnsi"/>
          <w:bCs/>
          <w:color w:val="000000"/>
          <w:lang w:val="sr-Latn-RS"/>
        </w:rPr>
      </w:pPr>
      <w:r w:rsidRPr="00F5183F">
        <w:rPr>
          <w:rFonts w:asciiTheme="minorHAnsi" w:hAnsiTheme="minorHAnsi"/>
          <w:bCs/>
          <w:iCs/>
          <w:lang w:val="sr-Latn-RS"/>
        </w:rPr>
        <w:lastRenderedPageBreak/>
        <w:t xml:space="preserve">Grafikon 4. </w:t>
      </w:r>
      <w:r w:rsidRPr="00F5183F">
        <w:rPr>
          <w:rFonts w:asciiTheme="minorHAnsi" w:hAnsiTheme="minorHAnsi" w:cstheme="minorHAnsi"/>
          <w:bCs/>
          <w:color w:val="000000"/>
          <w:lang w:val="sr-Latn-RS"/>
        </w:rPr>
        <w:t>Udeo  rashoda za socijalnu zaštitu (funkcija 0) u odnosu na ukupan iznos izvršenja budžeta, opština Bač, 2015-2019.</w:t>
      </w:r>
    </w:p>
    <w:p w14:paraId="629F77E1" w14:textId="4423C6CC" w:rsidR="00D65C76" w:rsidRPr="00F5183F" w:rsidRDefault="00D65C76" w:rsidP="005C1C9E">
      <w:pPr>
        <w:jc w:val="both"/>
        <w:rPr>
          <w:rFonts w:asciiTheme="minorHAnsi" w:hAnsiTheme="minorHAnsi"/>
          <w:bCs/>
          <w:iCs/>
          <w:lang w:val="sr-Latn-RS"/>
        </w:rPr>
      </w:pPr>
      <w:r w:rsidRPr="00F5183F">
        <w:rPr>
          <w:noProof/>
          <w:lang w:val="sr-Latn-RS"/>
        </w:rPr>
        <w:drawing>
          <wp:inline distT="0" distB="0" distL="0" distR="0" wp14:anchorId="2B8E5D79" wp14:editId="0FA4AAE0">
            <wp:extent cx="4572000" cy="2743200"/>
            <wp:effectExtent l="0" t="0" r="12700" b="12700"/>
            <wp:docPr id="4" name="Chart 4">
              <a:extLst xmlns:a="http://schemas.openxmlformats.org/drawingml/2006/main">
                <a:ext uri="{FF2B5EF4-FFF2-40B4-BE49-F238E27FC236}">
                  <a16:creationId xmlns:a16="http://schemas.microsoft.com/office/drawing/2014/main" id="{5E32996D-25E9-274E-8915-5BFE2321E2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B2C620" w14:textId="6D5CEBA0" w:rsidR="00EB1ADD" w:rsidRPr="00F5183F" w:rsidRDefault="00633801" w:rsidP="00C8228A">
      <w:pPr>
        <w:rPr>
          <w:rFonts w:asciiTheme="minorHAnsi" w:hAnsiTheme="minorHAnsi"/>
          <w:iCs/>
          <w:sz w:val="20"/>
          <w:szCs w:val="20"/>
          <w:lang w:val="sr-Latn-RS"/>
        </w:rPr>
      </w:pPr>
      <w:r w:rsidRPr="00F5183F">
        <w:rPr>
          <w:rFonts w:asciiTheme="minorHAnsi" w:hAnsiTheme="minorHAnsi"/>
          <w:iCs/>
          <w:sz w:val="20"/>
          <w:szCs w:val="20"/>
          <w:lang w:val="sr-Latn-RS"/>
        </w:rPr>
        <w:t>Izvor: SKGO</w:t>
      </w:r>
    </w:p>
    <w:p w14:paraId="7E5010EC" w14:textId="77777777" w:rsidR="00633801" w:rsidRPr="00F5183F" w:rsidRDefault="00633801" w:rsidP="00633801">
      <w:pPr>
        <w:jc w:val="both"/>
        <w:rPr>
          <w:rFonts w:asciiTheme="minorHAnsi" w:hAnsiTheme="minorHAnsi"/>
          <w:b/>
          <w:iCs/>
          <w:lang w:val="sr-Latn-RS"/>
        </w:rPr>
      </w:pPr>
    </w:p>
    <w:p w14:paraId="4EBBE016" w14:textId="33D7F147" w:rsidR="00633801" w:rsidRPr="00F5183F" w:rsidRDefault="00633801" w:rsidP="00633801">
      <w:pPr>
        <w:jc w:val="both"/>
        <w:rPr>
          <w:rFonts w:asciiTheme="minorHAnsi" w:hAnsiTheme="minorHAnsi"/>
          <w:b/>
          <w:iCs/>
          <w:lang w:val="sr-Latn-RS"/>
        </w:rPr>
      </w:pPr>
      <w:r w:rsidRPr="00F5183F">
        <w:rPr>
          <w:rFonts w:asciiTheme="minorHAnsi" w:hAnsiTheme="minorHAnsi"/>
          <w:b/>
          <w:iCs/>
          <w:lang w:val="sr-Latn-RS"/>
        </w:rPr>
        <w:t>Usluge socijalne zaštite u nadležnosti lokalnih samouprava</w:t>
      </w:r>
    </w:p>
    <w:p w14:paraId="18826DC8" w14:textId="2262FCA4" w:rsidR="00633801" w:rsidRPr="00F5183F" w:rsidRDefault="00633801" w:rsidP="00633801">
      <w:pPr>
        <w:jc w:val="both"/>
        <w:rPr>
          <w:rFonts w:asciiTheme="minorHAnsi" w:hAnsiTheme="minorHAnsi"/>
          <w:b/>
          <w:iCs/>
          <w:lang w:val="sr-Latn-RS"/>
        </w:rPr>
      </w:pPr>
    </w:p>
    <w:p w14:paraId="7F574758" w14:textId="0CA8E3CF" w:rsidR="00745BBD" w:rsidRPr="00F5183F" w:rsidRDefault="0037195B" w:rsidP="006A0A5D">
      <w:pPr>
        <w:spacing w:after="120"/>
        <w:jc w:val="both"/>
        <w:rPr>
          <w:rFonts w:asciiTheme="minorHAnsi" w:hAnsiTheme="minorHAnsi" w:cstheme="minorHAnsi"/>
          <w:lang w:val="sr-Latn-RS"/>
        </w:rPr>
      </w:pPr>
      <w:r w:rsidRPr="00F5183F">
        <w:rPr>
          <w:rFonts w:asciiTheme="minorHAnsi" w:hAnsiTheme="minorHAnsi" w:cstheme="minorHAnsi"/>
          <w:b/>
          <w:bCs/>
          <w:i/>
          <w:iCs/>
          <w:lang w:val="sr-Latn-RS"/>
        </w:rPr>
        <w:t xml:space="preserve">Obim intervencije u oblasti usluga socijalne zaštite u nadležnosti JLS u opštini Bač je iznadprosečan u odnosu na druge sredine u Srbiji. </w:t>
      </w:r>
      <w:r w:rsidR="006A0A5D" w:rsidRPr="00F5183F">
        <w:rPr>
          <w:rFonts w:asciiTheme="minorHAnsi" w:hAnsiTheme="minorHAnsi" w:cstheme="minorHAnsi"/>
          <w:lang w:val="sr-Latn-RS"/>
        </w:rPr>
        <w:t xml:space="preserve">Ukupni rashodi za usluge </w:t>
      </w:r>
      <w:r w:rsidR="007B0998" w:rsidRPr="00F5183F">
        <w:rPr>
          <w:rFonts w:asciiTheme="minorHAnsi" w:hAnsiTheme="minorHAnsi" w:cstheme="minorHAnsi"/>
          <w:lang w:val="sr-Latn-RS"/>
        </w:rPr>
        <w:t xml:space="preserve">socijalne zaštite u opštini Bač 2018. godine su iznosli </w:t>
      </w:r>
      <w:r w:rsidR="006A0A5D" w:rsidRPr="00F5183F">
        <w:rPr>
          <w:rFonts w:asciiTheme="minorHAnsi" w:hAnsiTheme="minorHAnsi" w:cstheme="minorHAnsi"/>
          <w:lang w:val="sr-Latn-RS"/>
        </w:rPr>
        <w:t>11,</w:t>
      </w:r>
      <w:r w:rsidR="00190E80" w:rsidRPr="00F5183F">
        <w:rPr>
          <w:rFonts w:asciiTheme="minorHAnsi" w:hAnsiTheme="minorHAnsi" w:cstheme="minorHAnsi"/>
          <w:lang w:val="sr-Latn-RS"/>
        </w:rPr>
        <w:t>7</w:t>
      </w:r>
      <w:r w:rsidR="006A0A5D" w:rsidRPr="00F5183F">
        <w:rPr>
          <w:rFonts w:asciiTheme="minorHAnsi" w:hAnsiTheme="minorHAnsi" w:cstheme="minorHAnsi"/>
          <w:lang w:val="sr-Latn-RS"/>
        </w:rPr>
        <w:t xml:space="preserve"> miliona </w:t>
      </w:r>
      <w:r w:rsidR="007B0998" w:rsidRPr="00F5183F">
        <w:rPr>
          <w:rFonts w:asciiTheme="minorHAnsi" w:hAnsiTheme="minorHAnsi" w:cstheme="minorHAnsi"/>
          <w:lang w:val="sr-Latn-RS"/>
        </w:rPr>
        <w:t>RSD</w:t>
      </w:r>
      <w:r w:rsidR="006A0A5D" w:rsidRPr="00F5183F">
        <w:rPr>
          <w:rFonts w:asciiTheme="minorHAnsi" w:hAnsiTheme="minorHAnsi" w:cstheme="minorHAnsi"/>
          <w:lang w:val="sr-Latn-RS"/>
        </w:rPr>
        <w:t xml:space="preserve">, </w:t>
      </w:r>
      <w:r w:rsidR="007B0998" w:rsidRPr="00F5183F">
        <w:rPr>
          <w:rFonts w:asciiTheme="minorHAnsi" w:hAnsiTheme="minorHAnsi" w:cstheme="minorHAnsi"/>
          <w:lang w:val="sr-Latn-RS"/>
        </w:rPr>
        <w:t xml:space="preserve">870 </w:t>
      </w:r>
      <w:r w:rsidR="00745BBD" w:rsidRPr="00F5183F">
        <w:rPr>
          <w:rFonts w:asciiTheme="minorHAnsi" w:hAnsiTheme="minorHAnsi" w:cstheme="minorHAnsi"/>
          <w:lang w:val="sr-Latn-RS"/>
        </w:rPr>
        <w:t>RSD</w:t>
      </w:r>
      <w:r w:rsidR="00EE10CE" w:rsidRPr="00F5183F">
        <w:rPr>
          <w:rFonts w:asciiTheme="minorHAnsi" w:hAnsiTheme="minorHAnsi" w:cstheme="minorHAnsi"/>
          <w:lang w:val="sr-Latn-RS"/>
        </w:rPr>
        <w:t xml:space="preserve"> po stanovnik</w:t>
      </w:r>
      <w:r w:rsidR="0093507B" w:rsidRPr="00F5183F">
        <w:rPr>
          <w:rFonts w:asciiTheme="minorHAnsi" w:hAnsiTheme="minorHAnsi" w:cstheme="minorHAnsi"/>
          <w:lang w:val="sr-Latn-RS"/>
        </w:rPr>
        <w:t>u</w:t>
      </w:r>
      <w:r w:rsidR="00745BBD" w:rsidRPr="00F5183F">
        <w:rPr>
          <w:rFonts w:asciiTheme="minorHAnsi" w:hAnsiTheme="minorHAnsi" w:cstheme="minorHAnsi"/>
          <w:lang w:val="sr-Latn-RS"/>
        </w:rPr>
        <w:t>. Udeo</w:t>
      </w:r>
      <w:r w:rsidR="00EE10CE" w:rsidRPr="00F5183F">
        <w:rPr>
          <w:rFonts w:asciiTheme="minorHAnsi" w:hAnsiTheme="minorHAnsi" w:cstheme="minorHAnsi"/>
          <w:lang w:val="sr-Latn-RS"/>
        </w:rPr>
        <w:t xml:space="preserve"> </w:t>
      </w:r>
      <w:r w:rsidR="00745BBD" w:rsidRPr="00F5183F">
        <w:rPr>
          <w:rFonts w:asciiTheme="minorHAnsi" w:hAnsiTheme="minorHAnsi" w:cstheme="minorHAnsi"/>
          <w:lang w:val="sr-Latn-RS"/>
        </w:rPr>
        <w:t>rashod</w:t>
      </w:r>
      <w:r w:rsidR="00EE10CE" w:rsidRPr="00F5183F">
        <w:rPr>
          <w:rFonts w:asciiTheme="minorHAnsi" w:hAnsiTheme="minorHAnsi" w:cstheme="minorHAnsi"/>
          <w:lang w:val="sr-Latn-RS"/>
        </w:rPr>
        <w:t>a</w:t>
      </w:r>
      <w:r w:rsidR="00745BBD" w:rsidRPr="00F5183F">
        <w:rPr>
          <w:rFonts w:asciiTheme="minorHAnsi" w:hAnsiTheme="minorHAnsi" w:cstheme="minorHAnsi"/>
          <w:lang w:val="sr-Latn-RS"/>
        </w:rPr>
        <w:t xml:space="preserve"> u opštinskom budžetu je dostigao </w:t>
      </w:r>
      <w:r w:rsidR="002071D7" w:rsidRPr="00F5183F">
        <w:rPr>
          <w:rFonts w:asciiTheme="minorHAnsi" w:hAnsiTheme="minorHAnsi" w:cstheme="minorHAnsi"/>
          <w:lang w:val="sr-Latn-RS"/>
        </w:rPr>
        <w:t>1,6%.</w:t>
      </w:r>
      <w:r w:rsidR="00190E80" w:rsidRPr="00F5183F">
        <w:rPr>
          <w:rFonts w:asciiTheme="minorHAnsi" w:hAnsiTheme="minorHAnsi" w:cstheme="minorHAnsi"/>
          <w:lang w:val="sr-Latn-RS"/>
        </w:rPr>
        <w:t xml:space="preserve"> </w:t>
      </w:r>
      <w:r w:rsidR="00190E80" w:rsidRPr="00F5183F">
        <w:rPr>
          <w:rFonts w:asciiTheme="minorHAnsi" w:hAnsiTheme="minorHAnsi" w:cstheme="minorHAnsi"/>
          <w:color w:val="000000" w:themeColor="text1"/>
          <w:lang w:val="sr-Latn-RS"/>
        </w:rPr>
        <w:t xml:space="preserve">Obim intervencije (Boks 4) je u opštini Bač iznad </w:t>
      </w:r>
      <w:r w:rsidR="00190E80" w:rsidRPr="00F5183F">
        <w:rPr>
          <w:rFonts w:asciiTheme="minorHAnsi" w:hAnsiTheme="minorHAnsi" w:cstheme="minorHAnsi"/>
          <w:lang w:val="sr-Latn-RS"/>
        </w:rPr>
        <w:t>neponderisanog proseka koji je zabeležen u JLS u Srbiji (45</w:t>
      </w:r>
      <w:r w:rsidR="00C2324C" w:rsidRPr="00F5183F">
        <w:rPr>
          <w:rFonts w:asciiTheme="minorHAnsi" w:hAnsiTheme="minorHAnsi" w:cstheme="minorHAnsi"/>
          <w:lang w:val="sr-Latn-RS"/>
        </w:rPr>
        <w:t>5</w:t>
      </w:r>
      <w:r w:rsidR="00190E80" w:rsidRPr="00F5183F">
        <w:rPr>
          <w:rFonts w:asciiTheme="minorHAnsi" w:hAnsiTheme="minorHAnsi" w:cstheme="minorHAnsi"/>
          <w:lang w:val="sr-Latn-RS"/>
        </w:rPr>
        <w:t xml:space="preserve"> RSD i 1,1% respektivno</w:t>
      </w:r>
      <w:r w:rsidR="00190E80" w:rsidRPr="00F5183F">
        <w:rPr>
          <w:rFonts w:asciiTheme="minorHAnsi" w:hAnsiTheme="minorHAnsi"/>
          <w:iCs/>
          <w:lang w:val="sr-Latn-RS"/>
        </w:rPr>
        <w:t>). Kada se vrednosti poređaju od najniže ka najvišoj, rang opštine Bač prema ova dva indikatora je 134</w:t>
      </w:r>
      <w:r w:rsidR="00EE10CE" w:rsidRPr="00F5183F">
        <w:rPr>
          <w:rFonts w:asciiTheme="minorHAnsi" w:hAnsiTheme="minorHAnsi"/>
          <w:iCs/>
          <w:lang w:val="sr-Latn-RS"/>
        </w:rPr>
        <w:t>,</w:t>
      </w:r>
      <w:r w:rsidR="00190E80" w:rsidRPr="00F5183F">
        <w:rPr>
          <w:rFonts w:asciiTheme="minorHAnsi" w:hAnsiTheme="minorHAnsi"/>
          <w:iCs/>
          <w:lang w:val="sr-Latn-RS"/>
        </w:rPr>
        <w:t xml:space="preserve"> odnosno 114 u odnosu na 145 JLS u Srbiji. </w:t>
      </w:r>
    </w:p>
    <w:p w14:paraId="450BA34B" w14:textId="6801E9AA" w:rsidR="006A0A5D" w:rsidRPr="00F5183F" w:rsidRDefault="00ED26B8" w:rsidP="006A0A5D">
      <w:pPr>
        <w:spacing w:after="120"/>
        <w:jc w:val="both"/>
        <w:rPr>
          <w:rFonts w:asciiTheme="minorHAnsi" w:hAnsiTheme="minorHAnsi" w:cstheme="minorHAnsi"/>
          <w:lang w:val="sr-Latn-RS"/>
        </w:rPr>
      </w:pPr>
      <w:r w:rsidRPr="00F5183F">
        <w:rPr>
          <w:rFonts w:asciiTheme="minorHAnsi" w:hAnsiTheme="minorHAnsi" w:cstheme="minorHAnsi"/>
          <w:lang w:val="sr-Latn-RS"/>
        </w:rPr>
        <w:t xml:space="preserve">Sredstva za finansiranje usluga </w:t>
      </w:r>
      <w:r w:rsidR="006A0A5D" w:rsidRPr="00F5183F">
        <w:rPr>
          <w:rFonts w:asciiTheme="minorHAnsi" w:hAnsiTheme="minorHAnsi" w:cstheme="minorHAnsi"/>
          <w:lang w:val="sr-Latn-RS"/>
        </w:rPr>
        <w:t>domin</w:t>
      </w:r>
      <w:r w:rsidRPr="00F5183F">
        <w:rPr>
          <w:rFonts w:asciiTheme="minorHAnsi" w:hAnsiTheme="minorHAnsi" w:cstheme="minorHAnsi"/>
          <w:lang w:val="sr-Latn-RS"/>
        </w:rPr>
        <w:t xml:space="preserve">antno su </w:t>
      </w:r>
      <w:r w:rsidR="006A0A5D" w:rsidRPr="00F5183F">
        <w:rPr>
          <w:rFonts w:asciiTheme="minorHAnsi" w:hAnsiTheme="minorHAnsi" w:cstheme="minorHAnsi"/>
          <w:lang w:val="sr-Latn-RS"/>
        </w:rPr>
        <w:t>obezbeđena kroz donatorske projekte (70%)</w:t>
      </w:r>
      <w:r w:rsidR="00190E80" w:rsidRPr="00F5183F">
        <w:rPr>
          <w:rFonts w:asciiTheme="minorHAnsi" w:hAnsiTheme="minorHAnsi" w:cstheme="minorHAnsi"/>
          <w:lang w:val="sr-Latn-RS"/>
        </w:rPr>
        <w:t xml:space="preserve">, a učešće </w:t>
      </w:r>
      <w:r w:rsidR="006A0A5D" w:rsidRPr="00F5183F">
        <w:rPr>
          <w:rFonts w:asciiTheme="minorHAnsi" w:hAnsiTheme="minorHAnsi" w:cstheme="minorHAnsi"/>
          <w:lang w:val="sr-Latn-RS"/>
        </w:rPr>
        <w:t xml:space="preserve">namenskog transfera </w:t>
      </w:r>
      <w:r w:rsidR="00190E80" w:rsidRPr="00F5183F">
        <w:rPr>
          <w:rFonts w:asciiTheme="minorHAnsi" w:hAnsiTheme="minorHAnsi" w:cstheme="minorHAnsi"/>
          <w:lang w:val="sr-Latn-RS"/>
        </w:rPr>
        <w:t xml:space="preserve">je iznosilo </w:t>
      </w:r>
      <w:r w:rsidR="006A0A5D" w:rsidRPr="00F5183F">
        <w:rPr>
          <w:rFonts w:asciiTheme="minorHAnsi" w:hAnsiTheme="minorHAnsi" w:cstheme="minorHAnsi"/>
          <w:lang w:val="sr-Latn-RS"/>
        </w:rPr>
        <w:t>26%</w:t>
      </w:r>
      <w:r w:rsidR="00190E80" w:rsidRPr="00F5183F">
        <w:rPr>
          <w:rFonts w:asciiTheme="minorHAnsi" w:hAnsiTheme="minorHAnsi" w:cstheme="minorHAnsi"/>
          <w:lang w:val="sr-Latn-RS"/>
        </w:rPr>
        <w:t>.</w:t>
      </w:r>
      <w:r w:rsidR="00326317" w:rsidRPr="00F5183F">
        <w:rPr>
          <w:rStyle w:val="FootnoteReference"/>
          <w:rFonts w:asciiTheme="minorHAnsi" w:hAnsiTheme="minorHAnsi" w:cstheme="minorHAnsi"/>
          <w:lang w:val="sr-Latn-RS"/>
        </w:rPr>
        <w:footnoteReference w:id="15"/>
      </w:r>
      <w:r w:rsidR="00190E80" w:rsidRPr="00F5183F">
        <w:rPr>
          <w:rFonts w:asciiTheme="minorHAnsi" w:hAnsiTheme="minorHAnsi" w:cstheme="minorHAnsi"/>
          <w:lang w:val="sr-Latn-RS"/>
        </w:rPr>
        <w:t xml:space="preserve"> </w:t>
      </w:r>
      <w:r w:rsidR="006A0A5D" w:rsidRPr="00F5183F">
        <w:rPr>
          <w:rFonts w:asciiTheme="minorHAnsi" w:hAnsiTheme="minorHAnsi" w:cstheme="minorHAnsi"/>
          <w:lang w:val="sr-Latn-RS"/>
        </w:rPr>
        <w:t xml:space="preserve">Participacija korisnika u ceni usluga </w:t>
      </w:r>
      <w:r w:rsidR="007B0998" w:rsidRPr="00F5183F">
        <w:rPr>
          <w:rFonts w:asciiTheme="minorHAnsi" w:hAnsiTheme="minorHAnsi" w:cstheme="minorHAnsi"/>
          <w:lang w:val="sr-Latn-RS"/>
        </w:rPr>
        <w:t>nije uspostavljena</w:t>
      </w:r>
      <w:r w:rsidR="006A0A5D" w:rsidRPr="00F5183F">
        <w:rPr>
          <w:rFonts w:asciiTheme="minorHAnsi" w:hAnsiTheme="minorHAnsi" w:cstheme="minorHAnsi"/>
          <w:lang w:val="sr-Latn-RS"/>
        </w:rPr>
        <w:t xml:space="preserve">. </w:t>
      </w:r>
    </w:p>
    <w:p w14:paraId="2B5E80C3" w14:textId="492BE67A" w:rsidR="006A0A5D" w:rsidRPr="00F5183F" w:rsidRDefault="006A0A5D" w:rsidP="006A0A5D">
      <w:pPr>
        <w:spacing w:after="120"/>
        <w:jc w:val="both"/>
        <w:rPr>
          <w:rFonts w:asciiTheme="minorHAnsi" w:hAnsiTheme="minorHAnsi" w:cstheme="minorHAnsi"/>
          <w:lang w:val="sr-Latn-RS"/>
        </w:rPr>
      </w:pPr>
      <w:r w:rsidRPr="00F5183F">
        <w:rPr>
          <w:rFonts w:asciiTheme="minorHAnsi" w:hAnsiTheme="minorHAnsi" w:cstheme="minorHAnsi"/>
          <w:b/>
          <w:bCs/>
          <w:i/>
          <w:iCs/>
          <w:lang w:val="sr-Latn-RS"/>
        </w:rPr>
        <w:t xml:space="preserve">Tokom 2018. godine, opština Bač </w:t>
      </w:r>
      <w:r w:rsidR="007438FE" w:rsidRPr="00F5183F">
        <w:rPr>
          <w:rFonts w:asciiTheme="minorHAnsi" w:hAnsiTheme="minorHAnsi" w:cstheme="minorHAnsi"/>
          <w:b/>
          <w:bCs/>
          <w:i/>
          <w:iCs/>
          <w:lang w:val="sr-Latn-RS"/>
        </w:rPr>
        <w:t xml:space="preserve">je </w:t>
      </w:r>
      <w:r w:rsidRPr="00F5183F">
        <w:rPr>
          <w:rFonts w:asciiTheme="minorHAnsi" w:hAnsiTheme="minorHAnsi" w:cstheme="minorHAnsi"/>
          <w:b/>
          <w:bCs/>
          <w:i/>
          <w:iCs/>
          <w:lang w:val="sr-Latn-RS"/>
        </w:rPr>
        <w:t>obezbeđ</w:t>
      </w:r>
      <w:r w:rsidR="007438FE" w:rsidRPr="00F5183F">
        <w:rPr>
          <w:rFonts w:asciiTheme="minorHAnsi" w:hAnsiTheme="minorHAnsi" w:cstheme="minorHAnsi"/>
          <w:b/>
          <w:bCs/>
          <w:i/>
          <w:iCs/>
          <w:lang w:val="sr-Latn-RS"/>
        </w:rPr>
        <w:t>ivala</w:t>
      </w:r>
      <w:r w:rsidRPr="00F5183F">
        <w:rPr>
          <w:rFonts w:asciiTheme="minorHAnsi" w:hAnsiTheme="minorHAnsi" w:cstheme="minorHAnsi"/>
          <w:b/>
          <w:bCs/>
          <w:i/>
          <w:iCs/>
          <w:lang w:val="sr-Latn-RS"/>
        </w:rPr>
        <w:t xml:space="preserve"> 4 usluge socijalne zaštite</w:t>
      </w:r>
      <w:r w:rsidR="007438FE" w:rsidRPr="00F5183F">
        <w:rPr>
          <w:rFonts w:asciiTheme="minorHAnsi" w:hAnsiTheme="minorHAnsi" w:cstheme="minorHAnsi"/>
          <w:b/>
          <w:bCs/>
          <w:i/>
          <w:iCs/>
          <w:lang w:val="sr-Latn-RS"/>
        </w:rPr>
        <w:t>:</w:t>
      </w:r>
      <w:r w:rsidRPr="00F5183F">
        <w:rPr>
          <w:rFonts w:asciiTheme="minorHAnsi" w:hAnsiTheme="minorHAnsi" w:cstheme="minorHAnsi"/>
          <w:b/>
          <w:bCs/>
          <w:i/>
          <w:iCs/>
          <w:lang w:val="sr-Latn-RS"/>
        </w:rPr>
        <w:t xml:space="preserve"> pomoć u kući za sta</w:t>
      </w:r>
      <w:r w:rsidR="007438FE" w:rsidRPr="00F5183F">
        <w:rPr>
          <w:rFonts w:asciiTheme="minorHAnsi" w:hAnsiTheme="minorHAnsi" w:cstheme="minorHAnsi"/>
          <w:b/>
          <w:bCs/>
          <w:i/>
          <w:iCs/>
          <w:lang w:val="sr-Latn-RS"/>
        </w:rPr>
        <w:t>re</w:t>
      </w:r>
      <w:r w:rsidRPr="00F5183F">
        <w:rPr>
          <w:rFonts w:asciiTheme="minorHAnsi" w:hAnsiTheme="minorHAnsi" w:cstheme="minorHAnsi"/>
          <w:b/>
          <w:bCs/>
          <w:i/>
          <w:iCs/>
          <w:lang w:val="sr-Latn-RS"/>
        </w:rPr>
        <w:t>, dnevni boravak za decu</w:t>
      </w:r>
      <w:r w:rsidR="00EE10CE" w:rsidRPr="00F5183F">
        <w:rPr>
          <w:rFonts w:asciiTheme="minorHAnsi" w:hAnsiTheme="minorHAnsi" w:cstheme="minorHAnsi"/>
          <w:b/>
          <w:bCs/>
          <w:i/>
          <w:iCs/>
          <w:lang w:val="sr-Latn-RS"/>
        </w:rPr>
        <w:t xml:space="preserve"> sa smetnjama u razvoju</w:t>
      </w:r>
      <w:r w:rsidRPr="00F5183F">
        <w:rPr>
          <w:rFonts w:asciiTheme="minorHAnsi" w:hAnsiTheme="minorHAnsi" w:cstheme="minorHAnsi"/>
          <w:b/>
          <w:bCs/>
          <w:i/>
          <w:iCs/>
          <w:lang w:val="sr-Latn-RS"/>
        </w:rPr>
        <w:t>, lični pratilac deteta i savetovalište</w:t>
      </w:r>
      <w:r w:rsidRPr="00F5183F">
        <w:rPr>
          <w:rFonts w:asciiTheme="minorHAnsi" w:hAnsiTheme="minorHAnsi" w:cstheme="minorHAnsi"/>
          <w:lang w:val="sr-Latn-RS"/>
        </w:rPr>
        <w:t>.</w:t>
      </w:r>
      <w:r w:rsidRPr="00F5183F">
        <w:rPr>
          <w:rStyle w:val="FootnoteReference"/>
          <w:rFonts w:asciiTheme="minorHAnsi" w:hAnsiTheme="minorHAnsi" w:cstheme="minorHAnsi"/>
          <w:lang w:val="sr-Latn-RS"/>
        </w:rPr>
        <w:footnoteReference w:id="16"/>
      </w:r>
    </w:p>
    <w:p w14:paraId="0C7C6939" w14:textId="4557BDF0" w:rsidR="006A0A5D" w:rsidRPr="00F5183F" w:rsidRDefault="006A0A5D" w:rsidP="006A0A5D">
      <w:pPr>
        <w:spacing w:after="120"/>
        <w:jc w:val="both"/>
        <w:rPr>
          <w:rFonts w:asciiTheme="minorHAnsi" w:hAnsiTheme="minorHAnsi" w:cstheme="minorHAnsi"/>
          <w:lang w:val="sr-Latn-RS"/>
        </w:rPr>
      </w:pPr>
      <w:r w:rsidRPr="00F5183F">
        <w:rPr>
          <w:rFonts w:asciiTheme="minorHAnsi" w:hAnsiTheme="minorHAnsi" w:cstheme="minorHAnsi"/>
          <w:lang w:val="sr-Latn-RS"/>
        </w:rPr>
        <w:t>Pomoć u kući s</w:t>
      </w:r>
      <w:r w:rsidR="0045668F" w:rsidRPr="00F5183F">
        <w:rPr>
          <w:rFonts w:asciiTheme="minorHAnsi" w:hAnsiTheme="minorHAnsi" w:cstheme="minorHAnsi"/>
          <w:lang w:val="sr-Latn-RS"/>
        </w:rPr>
        <w:t xml:space="preserve">e obezbeđivala za </w:t>
      </w:r>
      <w:r w:rsidRPr="00F5183F">
        <w:rPr>
          <w:rFonts w:asciiTheme="minorHAnsi" w:hAnsiTheme="minorHAnsi" w:cstheme="minorHAnsi"/>
          <w:lang w:val="sr-Latn-RS"/>
        </w:rPr>
        <w:t xml:space="preserve">124 korisnika, 10 meseci tokom 2018. </w:t>
      </w:r>
      <w:r w:rsidR="00151171" w:rsidRPr="00F5183F">
        <w:rPr>
          <w:rFonts w:asciiTheme="minorHAnsi" w:hAnsiTheme="minorHAnsi" w:cstheme="minorHAnsi"/>
          <w:lang w:val="sr-Latn-RS"/>
        </w:rPr>
        <w:t xml:space="preserve">Među korisnicima dominiraju stariji od 65 godina (97%), </w:t>
      </w:r>
      <w:r w:rsidR="00C02E89" w:rsidRPr="00F5183F">
        <w:rPr>
          <w:rFonts w:asciiTheme="minorHAnsi" w:hAnsiTheme="minorHAnsi" w:cstheme="minorHAnsi"/>
          <w:lang w:val="sr-Latn-RS"/>
        </w:rPr>
        <w:t>žene (69%)</w:t>
      </w:r>
      <w:r w:rsidRPr="00F5183F">
        <w:rPr>
          <w:rFonts w:asciiTheme="minorHAnsi" w:hAnsiTheme="minorHAnsi" w:cstheme="minorHAnsi"/>
          <w:lang w:val="sr-Latn-RS"/>
        </w:rPr>
        <w:t xml:space="preserve"> </w:t>
      </w:r>
      <w:r w:rsidR="00C02E89" w:rsidRPr="00F5183F">
        <w:rPr>
          <w:rFonts w:asciiTheme="minorHAnsi" w:hAnsiTheme="minorHAnsi" w:cstheme="minorHAnsi"/>
          <w:lang w:val="sr-Latn-RS"/>
        </w:rPr>
        <w:t xml:space="preserve">i  </w:t>
      </w:r>
      <w:r w:rsidR="00F72E48" w:rsidRPr="00F5183F">
        <w:rPr>
          <w:rFonts w:asciiTheme="minorHAnsi" w:hAnsiTheme="minorHAnsi" w:cstheme="minorHAnsi"/>
          <w:lang w:val="sr-Latn-RS"/>
        </w:rPr>
        <w:t xml:space="preserve">stanovnici </w:t>
      </w:r>
      <w:r w:rsidR="00A71FF0" w:rsidRPr="00F5183F">
        <w:rPr>
          <w:rFonts w:asciiTheme="minorHAnsi" w:hAnsiTheme="minorHAnsi" w:cstheme="minorHAnsi"/>
          <w:lang w:val="sr-Latn-RS"/>
        </w:rPr>
        <w:t xml:space="preserve">van urbanih </w:t>
      </w:r>
      <w:r w:rsidR="00C02E89" w:rsidRPr="00F5183F">
        <w:rPr>
          <w:rFonts w:asciiTheme="minorHAnsi" w:hAnsiTheme="minorHAnsi" w:cstheme="minorHAnsi"/>
          <w:lang w:val="sr-Latn-RS"/>
        </w:rPr>
        <w:t>sredina (65%).</w:t>
      </w:r>
      <w:r w:rsidR="00A95FE6" w:rsidRPr="00F5183F">
        <w:rPr>
          <w:rFonts w:asciiTheme="minorHAnsi" w:hAnsiTheme="minorHAnsi" w:cstheme="minorHAnsi"/>
          <w:lang w:val="sr-Latn-RS"/>
        </w:rPr>
        <w:t xml:space="preserve"> </w:t>
      </w:r>
      <w:r w:rsidRPr="00F5183F">
        <w:rPr>
          <w:rFonts w:asciiTheme="minorHAnsi" w:hAnsiTheme="minorHAnsi" w:cstheme="minorHAnsi"/>
          <w:lang w:val="sr-Latn-RS"/>
        </w:rPr>
        <w:t xml:space="preserve">Svaki korisnik je prosečno dobijao uslugu u trajanju od 6 sati nedeljno. Pružalac usluge je centar za socijalni rad koji je licenciran za </w:t>
      </w:r>
      <w:r w:rsidR="00D34F85" w:rsidRPr="00F5183F">
        <w:rPr>
          <w:rFonts w:asciiTheme="minorHAnsi" w:hAnsiTheme="minorHAnsi" w:cstheme="minorHAnsi"/>
          <w:lang w:val="sr-Latn-RS"/>
        </w:rPr>
        <w:t>pružanje ove usluge</w:t>
      </w:r>
      <w:r w:rsidRPr="00F5183F">
        <w:rPr>
          <w:rFonts w:asciiTheme="minorHAnsi" w:hAnsiTheme="minorHAnsi" w:cstheme="minorHAnsi"/>
          <w:lang w:val="sr-Latn-RS"/>
        </w:rPr>
        <w:t>.</w:t>
      </w:r>
    </w:p>
    <w:p w14:paraId="226FBCC7" w14:textId="66B17C28" w:rsidR="00C2324C" w:rsidRPr="00F5183F" w:rsidRDefault="00876E23" w:rsidP="006A0A5D">
      <w:pPr>
        <w:spacing w:after="240"/>
        <w:jc w:val="both"/>
        <w:rPr>
          <w:rFonts w:asciiTheme="minorHAnsi" w:hAnsiTheme="minorHAnsi" w:cstheme="minorHAnsi"/>
          <w:lang w:val="sr-Latn-RS"/>
        </w:rPr>
      </w:pPr>
      <w:r w:rsidRPr="00F5183F">
        <w:rPr>
          <w:rFonts w:asciiTheme="minorHAnsi" w:hAnsiTheme="minorHAnsi"/>
          <w:b/>
          <w:bCs/>
          <w:i/>
          <w:iCs/>
          <w:lang w:val="sr-Latn-RS"/>
        </w:rPr>
        <w:lastRenderedPageBreak/>
        <w:t xml:space="preserve">Dostupnost i efikasnost usluge pomoć u kući </w:t>
      </w:r>
      <w:r w:rsidR="00F72E48" w:rsidRPr="00F5183F">
        <w:rPr>
          <w:rFonts w:asciiTheme="minorHAnsi" w:hAnsiTheme="minorHAnsi"/>
          <w:b/>
          <w:bCs/>
          <w:i/>
          <w:iCs/>
          <w:lang w:val="sr-Latn-RS"/>
        </w:rPr>
        <w:t>za stare koju obezbeđuje opština Bač su</w:t>
      </w:r>
      <w:r w:rsidRPr="00F5183F">
        <w:rPr>
          <w:rFonts w:asciiTheme="minorHAnsi" w:hAnsiTheme="minorHAnsi"/>
          <w:b/>
          <w:bCs/>
          <w:i/>
          <w:iCs/>
          <w:lang w:val="sr-Latn-RS"/>
        </w:rPr>
        <w:t xml:space="preserve"> iznad proseka.</w:t>
      </w:r>
    </w:p>
    <w:p w14:paraId="1BDD6057" w14:textId="69E8C8E4" w:rsidR="006A0A5D" w:rsidRPr="00F5183F" w:rsidRDefault="006A0A5D" w:rsidP="006A0A5D">
      <w:pPr>
        <w:spacing w:after="240"/>
        <w:jc w:val="both"/>
        <w:rPr>
          <w:rFonts w:asciiTheme="minorHAnsi" w:hAnsiTheme="minorHAnsi" w:cstheme="minorHAnsi"/>
          <w:lang w:val="sr-Latn-RS"/>
        </w:rPr>
      </w:pPr>
      <w:r w:rsidRPr="00F5183F">
        <w:rPr>
          <w:rFonts w:asciiTheme="minorHAnsi" w:hAnsiTheme="minorHAnsi" w:cstheme="minorHAnsi"/>
          <w:lang w:val="sr-Latn-RS"/>
        </w:rPr>
        <w:t xml:space="preserve">Dostupnost, izražena </w:t>
      </w:r>
      <w:r w:rsidRPr="00F5183F">
        <w:rPr>
          <w:rFonts w:asciiTheme="minorHAnsi" w:hAnsiTheme="minorHAnsi" w:cstheme="minorHAnsi"/>
          <w:i/>
          <w:lang w:val="sr-Latn-RS"/>
        </w:rPr>
        <w:t>opštom stopom obuhvata</w:t>
      </w:r>
      <w:r w:rsidRPr="00F5183F">
        <w:rPr>
          <w:rFonts w:asciiTheme="minorHAnsi" w:hAnsiTheme="minorHAnsi" w:cstheme="minorHAnsi"/>
          <w:lang w:val="sr-Latn-RS"/>
        </w:rPr>
        <w:t xml:space="preserve"> </w:t>
      </w:r>
      <w:r w:rsidR="00A95FE6" w:rsidRPr="00F5183F">
        <w:rPr>
          <w:rFonts w:asciiTheme="minorHAnsi" w:hAnsiTheme="minorHAnsi" w:cstheme="minorHAnsi"/>
          <w:lang w:val="sr-Latn-RS"/>
        </w:rPr>
        <w:t xml:space="preserve">(Boks 5) </w:t>
      </w:r>
      <w:r w:rsidRPr="00F5183F">
        <w:rPr>
          <w:rFonts w:asciiTheme="minorHAnsi" w:hAnsiTheme="minorHAnsi" w:cstheme="minorHAnsi"/>
          <w:lang w:val="sr-Latn-RS"/>
        </w:rPr>
        <w:t xml:space="preserve">iznosila je 5,1%, </w:t>
      </w:r>
      <w:r w:rsidR="005258FD" w:rsidRPr="00F5183F">
        <w:rPr>
          <w:rFonts w:asciiTheme="minorHAnsi" w:hAnsiTheme="minorHAnsi" w:cstheme="minorHAnsi"/>
          <w:lang w:val="sr-Latn-RS"/>
        </w:rPr>
        <w:t xml:space="preserve">i četiri puta je viša </w:t>
      </w:r>
      <w:r w:rsidRPr="00F5183F">
        <w:rPr>
          <w:rFonts w:asciiTheme="minorHAnsi" w:hAnsiTheme="minorHAnsi" w:cstheme="minorHAnsi"/>
          <w:lang w:val="sr-Latn-RS"/>
        </w:rPr>
        <w:t xml:space="preserve">u odnosu na prosečnu </w:t>
      </w:r>
      <w:r w:rsidR="00F46EE3" w:rsidRPr="00F5183F">
        <w:rPr>
          <w:rFonts w:asciiTheme="minorHAnsi" w:hAnsiTheme="minorHAnsi" w:cstheme="minorHAnsi"/>
          <w:lang w:val="sr-Latn-RS"/>
        </w:rPr>
        <w:t xml:space="preserve">vrednost </w:t>
      </w:r>
      <w:r w:rsidRPr="00F5183F">
        <w:rPr>
          <w:rFonts w:asciiTheme="minorHAnsi" w:hAnsiTheme="minorHAnsi" w:cstheme="minorHAnsi"/>
          <w:lang w:val="sr-Latn-RS"/>
        </w:rPr>
        <w:t xml:space="preserve">u Srbiji (1,3%). </w:t>
      </w:r>
      <w:r w:rsidR="00A95FE6" w:rsidRPr="00F5183F">
        <w:rPr>
          <w:rFonts w:asciiTheme="minorHAnsi" w:hAnsiTheme="minorHAnsi" w:cstheme="minorHAnsi"/>
          <w:lang w:val="sr-Latn-RS"/>
        </w:rPr>
        <w:t>S obzirom da se usluga obezbeđivala svega 10 meseci i manje od 10 sati nedeljno po korisniku, broj ekvivalentnih korisnika je manji od broja stvarnih korisnika (Boks 4)</w:t>
      </w:r>
      <w:r w:rsidR="00F46EE3" w:rsidRPr="00F5183F">
        <w:rPr>
          <w:rFonts w:asciiTheme="minorHAnsi" w:hAnsiTheme="minorHAnsi" w:cstheme="minorHAnsi"/>
          <w:lang w:val="sr-Latn-RS"/>
        </w:rPr>
        <w:t>,</w:t>
      </w:r>
      <w:r w:rsidR="00A95FE6" w:rsidRPr="00F5183F">
        <w:rPr>
          <w:rFonts w:asciiTheme="minorHAnsi" w:hAnsiTheme="minorHAnsi" w:cstheme="minorHAnsi"/>
          <w:lang w:val="sr-Latn-RS"/>
        </w:rPr>
        <w:t xml:space="preserve"> pa je </w:t>
      </w:r>
      <w:r w:rsidR="00C02E89" w:rsidRPr="00F5183F">
        <w:rPr>
          <w:rFonts w:asciiTheme="minorHAnsi" w:hAnsiTheme="minorHAnsi" w:cstheme="minorHAnsi"/>
          <w:lang w:val="sr-Latn-RS"/>
        </w:rPr>
        <w:t xml:space="preserve">I </w:t>
      </w:r>
      <w:r w:rsidR="00C02E89" w:rsidRPr="00F5183F">
        <w:rPr>
          <w:rFonts w:asciiTheme="minorHAnsi" w:hAnsiTheme="minorHAnsi" w:cstheme="minorHAnsi"/>
          <w:i/>
          <w:lang w:val="sr-Latn-RS"/>
        </w:rPr>
        <w:t>h</w:t>
      </w:r>
      <w:r w:rsidRPr="00F5183F">
        <w:rPr>
          <w:rFonts w:asciiTheme="minorHAnsi" w:hAnsiTheme="minorHAnsi" w:cstheme="minorHAnsi"/>
          <w:i/>
          <w:lang w:val="sr-Latn-RS"/>
        </w:rPr>
        <w:t>ipotetička stopa</w:t>
      </w:r>
      <w:r w:rsidRPr="00F5183F">
        <w:rPr>
          <w:rFonts w:asciiTheme="minorHAnsi" w:hAnsiTheme="minorHAnsi" w:cstheme="minorHAnsi"/>
          <w:lang w:val="sr-Latn-RS"/>
        </w:rPr>
        <w:t xml:space="preserve"> </w:t>
      </w:r>
      <w:r w:rsidRPr="00F5183F">
        <w:rPr>
          <w:rFonts w:asciiTheme="minorHAnsi" w:hAnsiTheme="minorHAnsi" w:cstheme="minorHAnsi"/>
          <w:i/>
          <w:lang w:val="sr-Latn-RS"/>
        </w:rPr>
        <w:t xml:space="preserve">obuhvata </w:t>
      </w:r>
      <w:r w:rsidR="00A95FE6" w:rsidRPr="00F5183F">
        <w:rPr>
          <w:rFonts w:asciiTheme="minorHAnsi" w:hAnsiTheme="minorHAnsi" w:cstheme="minorHAnsi"/>
          <w:iCs/>
          <w:lang w:val="sr-Latn-RS"/>
        </w:rPr>
        <w:t>manja</w:t>
      </w:r>
      <w:r w:rsidR="00A95FE6" w:rsidRPr="00F5183F">
        <w:rPr>
          <w:rFonts w:asciiTheme="minorHAnsi" w:hAnsiTheme="minorHAnsi" w:cstheme="minorHAnsi"/>
          <w:i/>
          <w:lang w:val="sr-Latn-RS"/>
        </w:rPr>
        <w:t xml:space="preserve"> (</w:t>
      </w:r>
      <w:r w:rsidRPr="00F5183F">
        <w:rPr>
          <w:rFonts w:asciiTheme="minorHAnsi" w:hAnsiTheme="minorHAnsi" w:cstheme="minorHAnsi"/>
          <w:lang w:val="sr-Latn-RS"/>
        </w:rPr>
        <w:t>2,6%</w:t>
      </w:r>
      <w:r w:rsidR="00A95FE6" w:rsidRPr="00F5183F">
        <w:rPr>
          <w:rFonts w:asciiTheme="minorHAnsi" w:hAnsiTheme="minorHAnsi" w:cstheme="minorHAnsi"/>
          <w:lang w:val="sr-Latn-RS"/>
        </w:rPr>
        <w:t>)</w:t>
      </w:r>
      <w:r w:rsidR="00F46EE3" w:rsidRPr="00F5183F">
        <w:rPr>
          <w:rFonts w:asciiTheme="minorHAnsi" w:hAnsiTheme="minorHAnsi" w:cstheme="minorHAnsi"/>
          <w:lang w:val="sr-Latn-RS"/>
        </w:rPr>
        <w:t xml:space="preserve"> od opšte stope</w:t>
      </w:r>
      <w:r w:rsidR="00A95FE6" w:rsidRPr="00F5183F">
        <w:rPr>
          <w:rFonts w:asciiTheme="minorHAnsi" w:hAnsiTheme="minorHAnsi" w:cstheme="minorHAnsi"/>
          <w:lang w:val="sr-Latn-RS"/>
        </w:rPr>
        <w:t>. U odnosu na prosek Srbije (0,7) dostupnost je i prema ovom indikatoru gotovo četiri puta veća</w:t>
      </w:r>
      <w:r w:rsidR="00273546" w:rsidRPr="00F5183F">
        <w:rPr>
          <w:rFonts w:asciiTheme="minorHAnsi" w:hAnsiTheme="minorHAnsi" w:cstheme="minorHAnsi"/>
          <w:lang w:val="sr-Latn-RS"/>
        </w:rPr>
        <w:t xml:space="preserve"> (Grafikon 5)</w:t>
      </w:r>
      <w:r w:rsidRPr="00F5183F">
        <w:rPr>
          <w:rFonts w:asciiTheme="minorHAnsi" w:hAnsiTheme="minorHAnsi" w:cstheme="minorHAnsi"/>
          <w:lang w:val="sr-Latn-RS"/>
        </w:rPr>
        <w:t xml:space="preserve">.  </w:t>
      </w:r>
    </w:p>
    <w:p w14:paraId="16C598AA" w14:textId="7C030A68" w:rsidR="006A0A5D" w:rsidRPr="00F5183F" w:rsidRDefault="006A0A5D" w:rsidP="006A0A5D">
      <w:pPr>
        <w:spacing w:after="120"/>
        <w:jc w:val="both"/>
        <w:rPr>
          <w:rFonts w:asciiTheme="minorHAnsi" w:hAnsiTheme="minorHAnsi" w:cstheme="minorHAnsi"/>
          <w:bCs/>
          <w:lang w:val="sr-Latn-RS"/>
        </w:rPr>
      </w:pPr>
      <w:r w:rsidRPr="00F5183F">
        <w:rPr>
          <w:rFonts w:asciiTheme="minorHAnsi" w:hAnsiTheme="minorHAnsi" w:cstheme="minorHAnsi"/>
          <w:lang w:val="sr-Latn-RS"/>
        </w:rPr>
        <w:t xml:space="preserve">Grafikon </w:t>
      </w:r>
      <w:r w:rsidR="002071D7" w:rsidRPr="00F5183F">
        <w:rPr>
          <w:rFonts w:asciiTheme="minorHAnsi" w:hAnsiTheme="minorHAnsi" w:cstheme="minorHAnsi"/>
          <w:lang w:val="sr-Latn-RS"/>
        </w:rPr>
        <w:t>5</w:t>
      </w:r>
      <w:r w:rsidRPr="00F5183F">
        <w:rPr>
          <w:rFonts w:asciiTheme="minorHAnsi" w:hAnsiTheme="minorHAnsi" w:cstheme="minorHAnsi"/>
          <w:lang w:val="sr-Latn-RS"/>
        </w:rPr>
        <w:t xml:space="preserve">. </w:t>
      </w:r>
      <w:r w:rsidRPr="00F5183F">
        <w:rPr>
          <w:rFonts w:asciiTheme="minorHAnsi" w:hAnsiTheme="minorHAnsi" w:cstheme="minorHAnsi"/>
          <w:bCs/>
          <w:lang w:val="sr-Latn-RS"/>
        </w:rPr>
        <w:t>Opšta i hipotetička stopa obuhvata uslugom PUK starijih 65+, 2018.</w:t>
      </w:r>
    </w:p>
    <w:p w14:paraId="357E67EF" w14:textId="6CFF3B86" w:rsidR="006A0A5D" w:rsidRPr="00F5183F" w:rsidRDefault="006A0A5D" w:rsidP="006A0A5D">
      <w:pPr>
        <w:jc w:val="both"/>
        <w:rPr>
          <w:rFonts w:asciiTheme="minorHAnsi" w:hAnsiTheme="minorHAnsi" w:cstheme="minorHAnsi"/>
          <w:bCs/>
          <w:lang w:val="sr-Latn-RS"/>
        </w:rPr>
      </w:pPr>
      <w:r w:rsidRPr="00F5183F">
        <w:rPr>
          <w:rFonts w:asciiTheme="minorHAnsi" w:hAnsiTheme="minorHAnsi" w:cstheme="minorHAnsi"/>
          <w:noProof/>
          <w:lang w:val="sr-Latn-RS"/>
        </w:rPr>
        <w:drawing>
          <wp:inline distT="0" distB="0" distL="0" distR="0" wp14:anchorId="74E56214" wp14:editId="1EF097D2">
            <wp:extent cx="4442460" cy="2468880"/>
            <wp:effectExtent l="0" t="0" r="15240" b="76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9B7892" w14:textId="1E6FBC49" w:rsidR="001877CE" w:rsidRPr="00F5183F" w:rsidRDefault="002071D7" w:rsidP="006A0A5D">
      <w:pPr>
        <w:jc w:val="both"/>
        <w:rPr>
          <w:rFonts w:asciiTheme="minorHAnsi" w:hAnsiTheme="minorHAnsi" w:cstheme="minorHAnsi"/>
          <w:bCs/>
          <w:lang w:val="sr-Latn-RS"/>
        </w:rPr>
      </w:pPr>
      <w:r w:rsidRPr="00F5183F">
        <w:rPr>
          <w:rFonts w:asciiTheme="minorHAnsi" w:hAnsiTheme="minorHAnsi"/>
          <w:sz w:val="20"/>
          <w:szCs w:val="20"/>
          <w:lang w:val="sr-Latn-RS"/>
        </w:rPr>
        <w:t xml:space="preserve">Izvor:  </w:t>
      </w:r>
      <w:hyperlink r:id="rId15" w:history="1">
        <w:r w:rsidRPr="00F5183F">
          <w:rPr>
            <w:rStyle w:val="Hyperlink"/>
            <w:rFonts w:asciiTheme="minorHAnsi" w:hAnsiTheme="minorHAnsi"/>
            <w:i/>
            <w:sz w:val="20"/>
            <w:szCs w:val="20"/>
            <w:lang w:val="sr-Latn-RS"/>
          </w:rPr>
          <w:t>Mapiranje usluga socijalne zaštite i materijalne podrške u nadležnosti JLS u Republici Srbiji</w:t>
        </w:r>
      </w:hyperlink>
    </w:p>
    <w:p w14:paraId="21594153" w14:textId="782BDE12" w:rsidR="001877CE" w:rsidRPr="00F5183F" w:rsidRDefault="001877CE" w:rsidP="006A0A5D">
      <w:pPr>
        <w:jc w:val="both"/>
        <w:rPr>
          <w:rFonts w:asciiTheme="minorHAnsi" w:hAnsiTheme="minorHAnsi" w:cstheme="minorHAnsi"/>
          <w:bCs/>
          <w:lang w:val="sr-Latn-RS"/>
        </w:rPr>
      </w:pPr>
    </w:p>
    <w:p w14:paraId="45F35F56" w14:textId="77777777" w:rsidR="001877CE" w:rsidRPr="00F5183F" w:rsidRDefault="001877CE" w:rsidP="006A0A5D">
      <w:pPr>
        <w:jc w:val="both"/>
        <w:rPr>
          <w:rFonts w:asciiTheme="minorHAnsi" w:hAnsiTheme="minorHAnsi" w:cstheme="minorHAnsi"/>
          <w:bCs/>
          <w:lang w:val="sr-Latn-RS"/>
        </w:rPr>
      </w:pPr>
    </w:p>
    <w:p w14:paraId="1F821066" w14:textId="77777777" w:rsidR="001877CE" w:rsidRPr="00F5183F" w:rsidRDefault="001877CE" w:rsidP="001877CE">
      <w:pPr>
        <w:pBdr>
          <w:top w:val="single" w:sz="4" w:space="1" w:color="auto"/>
          <w:left w:val="single" w:sz="4" w:space="4" w:color="auto"/>
          <w:bottom w:val="single" w:sz="4" w:space="1" w:color="auto"/>
          <w:right w:val="single" w:sz="4" w:space="4" w:color="auto"/>
        </w:pBdr>
        <w:spacing w:after="120"/>
        <w:jc w:val="both"/>
        <w:rPr>
          <w:rFonts w:asciiTheme="minorHAnsi" w:hAnsiTheme="minorHAnsi" w:cstheme="minorHAnsi"/>
          <w:b/>
          <w:lang w:val="sr-Latn-RS"/>
        </w:rPr>
      </w:pPr>
      <w:r w:rsidRPr="00F5183F">
        <w:rPr>
          <w:rFonts w:asciiTheme="minorHAnsi" w:hAnsiTheme="minorHAnsi" w:cstheme="minorHAnsi"/>
          <w:b/>
          <w:lang w:val="sr-Latn-RS"/>
        </w:rPr>
        <w:t xml:space="preserve">Boks 4: INDIKATORI OBIMA I VELIČINE PROGRAMA </w:t>
      </w:r>
    </w:p>
    <w:p w14:paraId="5BBBDF7C" w14:textId="77777777" w:rsidR="001877CE" w:rsidRPr="00F5183F" w:rsidRDefault="001877CE" w:rsidP="001877CE">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heme="minorHAnsi" w:hAnsiTheme="minorHAnsi" w:cstheme="minorHAnsi"/>
          <w:lang w:val="sr-Latn-RS"/>
        </w:rPr>
      </w:pPr>
      <w:r w:rsidRPr="00F5183F">
        <w:rPr>
          <w:rFonts w:asciiTheme="minorHAnsi" w:hAnsiTheme="minorHAnsi" w:cstheme="minorHAnsi"/>
          <w:b/>
          <w:lang w:val="sr-Latn-RS"/>
        </w:rPr>
        <w:t>Indikatori veličine programa su broj korisnika i ekvivalentan broj korisnika.</w:t>
      </w:r>
      <w:r w:rsidRPr="00F5183F">
        <w:rPr>
          <w:rStyle w:val="FootnoteReference"/>
          <w:rFonts w:asciiTheme="minorHAnsi" w:hAnsiTheme="minorHAnsi" w:cstheme="minorHAnsi"/>
          <w:b/>
          <w:lang w:val="sr-Latn-RS"/>
        </w:rPr>
        <w:footnoteReference w:id="17"/>
      </w:r>
      <w:r w:rsidRPr="00F5183F">
        <w:rPr>
          <w:rFonts w:asciiTheme="minorHAnsi" w:hAnsiTheme="minorHAnsi" w:cstheme="minorHAnsi"/>
          <w:b/>
          <w:lang w:val="sr-Latn-RS"/>
        </w:rPr>
        <w:t xml:space="preserve">  </w:t>
      </w:r>
      <w:r w:rsidRPr="00F5183F">
        <w:rPr>
          <w:rFonts w:asciiTheme="minorHAnsi" w:hAnsiTheme="minorHAnsi" w:cstheme="minorHAnsi"/>
          <w:bCs/>
          <w:lang w:val="sr-Latn-RS"/>
        </w:rPr>
        <w:t>Ekvivalentan broj korisnika</w:t>
      </w:r>
      <w:r w:rsidRPr="00F5183F">
        <w:rPr>
          <w:rFonts w:asciiTheme="minorHAnsi" w:hAnsiTheme="minorHAnsi" w:cstheme="minorHAnsi"/>
          <w:b/>
          <w:lang w:val="sr-Latn-RS"/>
        </w:rPr>
        <w:t xml:space="preserve"> </w:t>
      </w:r>
      <w:r w:rsidRPr="00F5183F">
        <w:rPr>
          <w:rFonts w:asciiTheme="minorHAnsi" w:hAnsiTheme="minorHAnsi" w:cstheme="minorHAnsi"/>
          <w:bCs/>
          <w:lang w:val="sr-Latn-RS"/>
        </w:rPr>
        <w:t>se računa</w:t>
      </w:r>
      <w:r w:rsidRPr="00F5183F">
        <w:rPr>
          <w:rFonts w:asciiTheme="minorHAnsi" w:hAnsiTheme="minorHAnsi" w:cstheme="minorHAnsi"/>
          <w:lang w:val="sr-Latn-RS"/>
        </w:rPr>
        <w:t xml:space="preserve"> na osnovu pretpostavke o jednakom intenzitetu pružanja usluge svim korisnicima u svim JLS, po modelu pet dana nedeljno 2 sata dnevno tokom 12 meseci u kontinuitetu. Tako se, na primer, stvaran broj korisnika u datoj JLS umanjuje dva puta ako se usluga pruža tokom cele godine, pet dana nedeljno, ali samo 1 sat dnevno. Takođe se stvaran broj korisnika umanjuje dva puta ako se usluga pruža 2 sata dnevno svakog radnog dana, ali se pruža samo tokom 6 meseci. </w:t>
      </w:r>
    </w:p>
    <w:p w14:paraId="51798E5C" w14:textId="2C14C6A6" w:rsidR="001877CE" w:rsidRPr="00F5183F" w:rsidRDefault="001877CE" w:rsidP="001877CE">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heme="minorHAnsi" w:hAnsiTheme="minorHAnsi" w:cstheme="minorHAnsi"/>
          <w:lang w:val="sr-Latn-RS"/>
        </w:rPr>
      </w:pPr>
      <w:r w:rsidRPr="00F5183F">
        <w:rPr>
          <w:rFonts w:asciiTheme="minorHAnsi" w:hAnsiTheme="minorHAnsi" w:cstheme="minorHAnsi"/>
          <w:b/>
          <w:bCs/>
          <w:lang w:val="sr-Latn-RS"/>
        </w:rPr>
        <w:t>Indikatori obima intervencije</w:t>
      </w:r>
      <w:r w:rsidRPr="00F5183F">
        <w:rPr>
          <w:rFonts w:asciiTheme="minorHAnsi" w:hAnsiTheme="minorHAnsi" w:cstheme="minorHAnsi"/>
          <w:lang w:val="sr-Latn-RS"/>
        </w:rPr>
        <w:t xml:space="preserve"> su rashodi za usluge socijalne zaštite u mandatu JLS, rashodi po stanovniku  i udeo rashoda za usluge socijalne zaštite u mandatu JLS u lokalnom budžetu. </w:t>
      </w:r>
    </w:p>
    <w:p w14:paraId="6EE1262E" w14:textId="73F51714" w:rsidR="006A0A5D" w:rsidRPr="00F5183F" w:rsidRDefault="006A0A5D" w:rsidP="006A0A5D">
      <w:pPr>
        <w:spacing w:before="240" w:after="120"/>
        <w:jc w:val="both"/>
        <w:rPr>
          <w:rFonts w:asciiTheme="minorHAnsi" w:hAnsiTheme="minorHAnsi" w:cstheme="minorHAnsi"/>
          <w:lang w:val="sr-Latn-RS"/>
        </w:rPr>
      </w:pPr>
      <w:r w:rsidRPr="00F5183F">
        <w:rPr>
          <w:rFonts w:asciiTheme="minorHAnsi" w:hAnsiTheme="minorHAnsi" w:cstheme="minorHAnsi"/>
          <w:lang w:val="sr-Latn-RS"/>
        </w:rPr>
        <w:lastRenderedPageBreak/>
        <w:t xml:space="preserve">Ukupni rashodi za pomoć u kući su iznosili 8,3 miliona </w:t>
      </w:r>
      <w:r w:rsidR="008A7420" w:rsidRPr="00F5183F">
        <w:rPr>
          <w:rFonts w:asciiTheme="minorHAnsi" w:hAnsiTheme="minorHAnsi" w:cstheme="minorHAnsi"/>
          <w:lang w:val="sr-Latn-RS"/>
        </w:rPr>
        <w:t>RSD</w:t>
      </w:r>
      <w:r w:rsidRPr="00F5183F">
        <w:rPr>
          <w:rFonts w:asciiTheme="minorHAnsi" w:hAnsiTheme="minorHAnsi" w:cstheme="minorHAnsi"/>
          <w:lang w:val="sr-Latn-RS"/>
        </w:rPr>
        <w:t xml:space="preserve"> i sredstva su u potpunosti bila obezbeđena iz donatorskih projekata. </w:t>
      </w:r>
    </w:p>
    <w:p w14:paraId="4E82B0D1" w14:textId="731C4035" w:rsidR="006A0A5D" w:rsidRPr="00F5183F" w:rsidRDefault="006A0A5D" w:rsidP="006A0A5D">
      <w:pPr>
        <w:spacing w:after="240"/>
        <w:jc w:val="both"/>
        <w:rPr>
          <w:rFonts w:asciiTheme="minorHAnsi" w:hAnsiTheme="minorHAnsi" w:cstheme="minorHAnsi"/>
          <w:lang w:val="sr-Latn-RS"/>
        </w:rPr>
      </w:pPr>
      <w:r w:rsidRPr="00F5183F">
        <w:rPr>
          <w:rFonts w:asciiTheme="minorHAnsi" w:hAnsiTheme="minorHAnsi" w:cstheme="minorHAnsi"/>
          <w:i/>
          <w:lang w:val="sr-Latn-RS"/>
        </w:rPr>
        <w:t xml:space="preserve">Jedinični trošak usluge, </w:t>
      </w:r>
      <w:r w:rsidRPr="00F5183F">
        <w:rPr>
          <w:rFonts w:asciiTheme="minorHAnsi" w:hAnsiTheme="minorHAnsi" w:cstheme="minorHAnsi"/>
          <w:lang w:val="sr-Latn-RS"/>
        </w:rPr>
        <w:t>indikator efikasnost</w:t>
      </w:r>
      <w:r w:rsidR="00B85DD2" w:rsidRPr="00F5183F">
        <w:rPr>
          <w:rFonts w:asciiTheme="minorHAnsi" w:hAnsiTheme="minorHAnsi" w:cstheme="minorHAnsi"/>
          <w:lang w:val="sr-Latn-RS"/>
        </w:rPr>
        <w:t>i (Boks 5)</w:t>
      </w:r>
      <w:r w:rsidRPr="00F5183F">
        <w:rPr>
          <w:rFonts w:asciiTheme="minorHAnsi" w:hAnsiTheme="minorHAnsi" w:cstheme="minorHAnsi"/>
          <w:lang w:val="sr-Latn-RS"/>
        </w:rPr>
        <w:t xml:space="preserve">, u 2018. godini iznosio je 283 </w:t>
      </w:r>
      <w:r w:rsidR="00B85DD2" w:rsidRPr="00F5183F">
        <w:rPr>
          <w:rFonts w:asciiTheme="minorHAnsi" w:hAnsiTheme="minorHAnsi" w:cstheme="minorHAnsi"/>
          <w:lang w:val="sr-Latn-RS"/>
        </w:rPr>
        <w:t>RSD</w:t>
      </w:r>
      <w:r w:rsidRPr="00F5183F">
        <w:rPr>
          <w:rFonts w:asciiTheme="minorHAnsi" w:hAnsiTheme="minorHAnsi" w:cstheme="minorHAnsi"/>
          <w:lang w:val="sr-Latn-RS"/>
        </w:rPr>
        <w:t xml:space="preserve">, i povoljniji je u poređenju sa republičkim prosekom </w:t>
      </w:r>
      <w:r w:rsidR="00562B6C" w:rsidRPr="00F5183F">
        <w:rPr>
          <w:rFonts w:asciiTheme="minorHAnsi" w:hAnsiTheme="minorHAnsi" w:cstheme="minorHAnsi"/>
          <w:lang w:val="sr-Latn-RS"/>
        </w:rPr>
        <w:t>(</w:t>
      </w:r>
      <w:r w:rsidRPr="00F5183F">
        <w:rPr>
          <w:rFonts w:asciiTheme="minorHAnsi" w:hAnsiTheme="minorHAnsi" w:cstheme="minorHAnsi"/>
          <w:lang w:val="sr-Latn-RS"/>
        </w:rPr>
        <w:t xml:space="preserve">333 </w:t>
      </w:r>
      <w:r w:rsidR="00562B6C" w:rsidRPr="00F5183F">
        <w:rPr>
          <w:rFonts w:asciiTheme="minorHAnsi" w:hAnsiTheme="minorHAnsi" w:cstheme="minorHAnsi"/>
          <w:lang w:val="sr-Latn-RS"/>
        </w:rPr>
        <w:t>RSD)</w:t>
      </w:r>
      <w:r w:rsidRPr="00F5183F">
        <w:rPr>
          <w:rFonts w:asciiTheme="minorHAnsi" w:hAnsiTheme="minorHAnsi" w:cstheme="minorHAnsi"/>
          <w:lang w:val="sr-Latn-RS"/>
        </w:rPr>
        <w:t xml:space="preserve">. </w:t>
      </w:r>
    </w:p>
    <w:p w14:paraId="6255E73B" w14:textId="77777777" w:rsidR="001877CE" w:rsidRPr="00F5183F" w:rsidRDefault="001877CE" w:rsidP="00A5791B">
      <w:pPr>
        <w:pBdr>
          <w:top w:val="single" w:sz="4" w:space="1" w:color="auto"/>
          <w:left w:val="single" w:sz="4" w:space="4" w:color="auto"/>
          <w:bottom w:val="single" w:sz="4" w:space="1" w:color="auto"/>
          <w:right w:val="single" w:sz="4" w:space="4" w:color="auto"/>
        </w:pBdr>
        <w:spacing w:after="120"/>
        <w:jc w:val="both"/>
        <w:rPr>
          <w:rFonts w:asciiTheme="minorHAnsi" w:hAnsiTheme="minorHAnsi" w:cstheme="minorHAnsi"/>
          <w:b/>
          <w:lang w:val="sr-Latn-RS"/>
        </w:rPr>
      </w:pPr>
      <w:r w:rsidRPr="00F5183F">
        <w:rPr>
          <w:rFonts w:asciiTheme="minorHAnsi" w:hAnsiTheme="minorHAnsi" w:cstheme="minorHAnsi"/>
          <w:b/>
          <w:lang w:val="sr-Latn-RS"/>
        </w:rPr>
        <w:t>Boks 5. INDIKATORI UČINKA – DOSTUPNOST I EFIKASNOST</w:t>
      </w:r>
    </w:p>
    <w:p w14:paraId="1494A711" w14:textId="1EBE08BF" w:rsidR="001877CE" w:rsidRPr="00F5183F" w:rsidRDefault="001877CE" w:rsidP="00A5791B">
      <w:pPr>
        <w:pBdr>
          <w:top w:val="single" w:sz="4" w:space="1" w:color="auto"/>
          <w:left w:val="single" w:sz="4" w:space="4" w:color="auto"/>
          <w:bottom w:val="single" w:sz="4" w:space="1" w:color="auto"/>
          <w:right w:val="single" w:sz="4" w:space="4" w:color="auto"/>
        </w:pBdr>
        <w:spacing w:after="120"/>
        <w:jc w:val="both"/>
        <w:rPr>
          <w:rFonts w:asciiTheme="minorHAnsi" w:hAnsiTheme="minorHAnsi" w:cstheme="minorHAnsi"/>
          <w:lang w:val="sr-Latn-RS"/>
        </w:rPr>
      </w:pPr>
      <w:r w:rsidRPr="00F5183F">
        <w:rPr>
          <w:rFonts w:asciiTheme="minorHAnsi" w:hAnsiTheme="minorHAnsi" w:cstheme="minorHAnsi"/>
          <w:b/>
          <w:lang w:val="sr-Latn-RS"/>
        </w:rPr>
        <w:t xml:space="preserve">Dostupnost </w:t>
      </w:r>
      <w:r w:rsidRPr="00F5183F">
        <w:rPr>
          <w:rFonts w:asciiTheme="minorHAnsi" w:hAnsiTheme="minorHAnsi" w:cstheme="minorHAnsi"/>
          <w:bCs/>
          <w:lang w:val="sr-Latn-RS"/>
        </w:rPr>
        <w:t xml:space="preserve">se </w:t>
      </w:r>
      <w:r w:rsidRPr="00F5183F">
        <w:rPr>
          <w:rFonts w:asciiTheme="minorHAnsi" w:hAnsiTheme="minorHAnsi" w:cstheme="minorHAnsi"/>
          <w:lang w:val="sr-Latn-RS"/>
        </w:rPr>
        <w:t xml:space="preserve">meri preko stope obuhvata, stavljanjem u odnos broja korisnika usluge i populacije odgovarajuće starosti. </w:t>
      </w:r>
      <w:r w:rsidRPr="00F5183F">
        <w:rPr>
          <w:rFonts w:asciiTheme="minorHAnsi" w:hAnsiTheme="minorHAnsi" w:cstheme="minorHAnsi"/>
          <w:b/>
          <w:i/>
          <w:lang w:val="sr-Latn-RS"/>
        </w:rPr>
        <w:t xml:space="preserve"> </w:t>
      </w:r>
      <w:r w:rsidRPr="00F5183F">
        <w:rPr>
          <w:rFonts w:asciiTheme="minorHAnsi" w:hAnsiTheme="minorHAnsi" w:cstheme="minorHAnsi"/>
          <w:bCs/>
          <w:i/>
          <w:lang w:val="sr-Latn-RS"/>
        </w:rPr>
        <w:t>Opšta stopa obuhvata</w:t>
      </w:r>
      <w:r w:rsidRPr="00F5183F">
        <w:rPr>
          <w:rFonts w:asciiTheme="minorHAnsi" w:hAnsiTheme="minorHAnsi" w:cstheme="minorHAnsi"/>
          <w:bCs/>
          <w:lang w:val="sr-Latn-RS"/>
        </w:rPr>
        <w:t xml:space="preserve"> se računa na osnovu stvarnog broja korisnika, a </w:t>
      </w:r>
      <w:r w:rsidRPr="00F5183F">
        <w:rPr>
          <w:rFonts w:asciiTheme="minorHAnsi" w:hAnsiTheme="minorHAnsi" w:cstheme="minorHAnsi"/>
          <w:bCs/>
          <w:i/>
          <w:lang w:val="sr-Latn-RS"/>
        </w:rPr>
        <w:t>hipotetička stopa obuhvata</w:t>
      </w:r>
      <w:r w:rsidRPr="00F5183F">
        <w:rPr>
          <w:rFonts w:asciiTheme="minorHAnsi" w:hAnsiTheme="minorHAnsi" w:cstheme="minorHAnsi"/>
          <w:b/>
          <w:i/>
          <w:lang w:val="sr-Latn-RS"/>
        </w:rPr>
        <w:t xml:space="preserve"> </w:t>
      </w:r>
      <w:r w:rsidRPr="00F5183F">
        <w:rPr>
          <w:rFonts w:asciiTheme="minorHAnsi" w:hAnsiTheme="minorHAnsi" w:cstheme="minorHAnsi"/>
          <w:bCs/>
          <w:iCs/>
          <w:lang w:val="sr-Latn-RS"/>
        </w:rPr>
        <w:t>na osnovu</w:t>
      </w:r>
      <w:r w:rsidRPr="00F5183F">
        <w:rPr>
          <w:rFonts w:asciiTheme="minorHAnsi" w:hAnsiTheme="minorHAnsi" w:cstheme="minorHAnsi"/>
          <w:b/>
          <w:i/>
          <w:lang w:val="sr-Latn-RS"/>
        </w:rPr>
        <w:t xml:space="preserve"> </w:t>
      </w:r>
      <w:r w:rsidRPr="00F5183F">
        <w:rPr>
          <w:rFonts w:asciiTheme="minorHAnsi" w:hAnsiTheme="minorHAnsi" w:cstheme="minorHAnsi"/>
          <w:lang w:val="sr-Latn-RS"/>
        </w:rPr>
        <w:t xml:space="preserve">ekvivalentnog broja korisnika. </w:t>
      </w:r>
      <w:r w:rsidR="00A5791B">
        <w:rPr>
          <w:rFonts w:asciiTheme="minorHAnsi" w:hAnsiTheme="minorHAnsi" w:cstheme="minorHAnsi"/>
          <w:lang w:val="sr-Latn-RS"/>
        </w:rPr>
        <w:t xml:space="preserve">Podaci o </w:t>
      </w:r>
      <w:r w:rsidR="00A5791B" w:rsidRPr="00A5791B">
        <w:rPr>
          <w:rFonts w:asciiTheme="minorHAnsi" w:hAnsiTheme="minorHAnsi" w:cstheme="minorHAnsi"/>
          <w:lang w:val="sr-Latn-RS"/>
        </w:rPr>
        <w:t>hipotetičkoj stopi obuhvata su uporedivi između JLS.</w:t>
      </w:r>
    </w:p>
    <w:p w14:paraId="7B4D2E61" w14:textId="7B623CE2" w:rsidR="006A0A5D" w:rsidRPr="00A5791B" w:rsidRDefault="00EE10CE" w:rsidP="00A5791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eastAsia="Times New Roman" w:hAnsiTheme="minorHAnsi" w:cstheme="minorHAnsi"/>
          <w:lang w:val="sr-Latn-RS" w:eastAsia="en-GB"/>
        </w:rPr>
      </w:pPr>
      <w:r w:rsidRPr="00F5183F">
        <w:rPr>
          <w:rFonts w:asciiTheme="minorHAnsi" w:hAnsiTheme="minorHAnsi" w:cstheme="minorHAnsi"/>
          <w:b/>
          <w:iCs/>
          <w:lang w:val="sr-Latn-RS"/>
        </w:rPr>
        <w:t>I</w:t>
      </w:r>
      <w:r w:rsidR="001877CE" w:rsidRPr="00F5183F">
        <w:rPr>
          <w:rFonts w:asciiTheme="minorHAnsi" w:hAnsiTheme="minorHAnsi" w:cstheme="minorHAnsi"/>
          <w:b/>
          <w:iCs/>
          <w:lang w:val="sr-Latn-RS"/>
        </w:rPr>
        <w:t>ndikator efikasnosti</w:t>
      </w:r>
      <w:r w:rsidRPr="00F5183F">
        <w:rPr>
          <w:rFonts w:asciiTheme="minorHAnsi" w:hAnsiTheme="minorHAnsi" w:cstheme="minorHAnsi"/>
          <w:b/>
          <w:iCs/>
          <w:lang w:val="sr-Latn-RS"/>
        </w:rPr>
        <w:t xml:space="preserve"> je jedinični trošak</w:t>
      </w:r>
      <w:r w:rsidR="001877CE" w:rsidRPr="00F5183F">
        <w:rPr>
          <w:rFonts w:asciiTheme="minorHAnsi" w:hAnsiTheme="minorHAnsi" w:cstheme="minorHAnsi"/>
          <w:b/>
          <w:iCs/>
          <w:lang w:val="sr-Latn-RS"/>
        </w:rPr>
        <w:t xml:space="preserve">. </w:t>
      </w:r>
      <w:r w:rsidR="001877CE" w:rsidRPr="00F5183F">
        <w:rPr>
          <w:rFonts w:asciiTheme="minorHAnsi" w:eastAsia="Times New Roman" w:hAnsiTheme="minorHAnsi" w:cstheme="minorHAnsi"/>
          <w:lang w:val="sr-Latn-RS" w:eastAsia="en-GB"/>
        </w:rPr>
        <w:t>Jedinični troš</w:t>
      </w:r>
      <w:r w:rsidRPr="00F5183F">
        <w:rPr>
          <w:rFonts w:asciiTheme="minorHAnsi" w:eastAsia="Times New Roman" w:hAnsiTheme="minorHAnsi" w:cstheme="minorHAnsi"/>
          <w:lang w:val="sr-Latn-RS" w:eastAsia="en-GB"/>
        </w:rPr>
        <w:t>ak -</w:t>
      </w:r>
      <w:r w:rsidR="001877CE" w:rsidRPr="00F5183F">
        <w:rPr>
          <w:rFonts w:asciiTheme="minorHAnsi" w:eastAsia="Times New Roman" w:hAnsiTheme="minorHAnsi" w:cstheme="minorHAnsi"/>
          <w:lang w:val="sr-Latn-RS" w:eastAsia="en-GB"/>
        </w:rPr>
        <w:t xml:space="preserve"> troš</w:t>
      </w:r>
      <w:r w:rsidRPr="00F5183F">
        <w:rPr>
          <w:rFonts w:asciiTheme="minorHAnsi" w:eastAsia="Times New Roman" w:hAnsiTheme="minorHAnsi" w:cstheme="minorHAnsi"/>
          <w:lang w:val="sr-Latn-RS" w:eastAsia="en-GB"/>
        </w:rPr>
        <w:t>ak</w:t>
      </w:r>
      <w:r w:rsidR="001877CE" w:rsidRPr="00F5183F">
        <w:rPr>
          <w:rFonts w:asciiTheme="minorHAnsi" w:eastAsia="Times New Roman" w:hAnsiTheme="minorHAnsi" w:cstheme="minorHAnsi"/>
          <w:lang w:val="sr-Latn-RS" w:eastAsia="en-GB"/>
        </w:rPr>
        <w:t xml:space="preserve"> po korisniku za sat pružene usluge</w:t>
      </w:r>
      <w:r w:rsidRPr="00F5183F">
        <w:rPr>
          <w:rFonts w:asciiTheme="minorHAnsi" w:eastAsia="Times New Roman" w:hAnsiTheme="minorHAnsi" w:cstheme="minorHAnsi"/>
          <w:lang w:val="sr-Latn-RS" w:eastAsia="en-GB"/>
        </w:rPr>
        <w:t xml:space="preserve"> - </w:t>
      </w:r>
      <w:r w:rsidR="001877CE" w:rsidRPr="00F5183F">
        <w:rPr>
          <w:rFonts w:asciiTheme="minorHAnsi" w:eastAsia="Times New Roman" w:hAnsiTheme="minorHAnsi" w:cstheme="minorHAnsi"/>
          <w:lang w:val="sr-Latn-RS" w:eastAsia="en-GB"/>
        </w:rPr>
        <w:t xml:space="preserve">predstavlja odnos ukupnih godišnjih tekućih rashoda i ukupnog broja sati godišnjeg pružanja usluge svim korisnicima u jednoj lokalnoj samoupravi. </w:t>
      </w:r>
    </w:p>
    <w:p w14:paraId="5CF025CD" w14:textId="77777777" w:rsidR="005351B8" w:rsidRDefault="005351B8" w:rsidP="005351B8">
      <w:pPr>
        <w:jc w:val="both"/>
        <w:rPr>
          <w:rFonts w:asciiTheme="minorHAnsi" w:hAnsiTheme="minorHAnsi" w:cstheme="minorHAnsi"/>
          <w:lang w:val="sr-Latn-RS"/>
        </w:rPr>
      </w:pPr>
    </w:p>
    <w:p w14:paraId="5AF947AE" w14:textId="7374A523" w:rsidR="006A0A5D" w:rsidRPr="00F5183F" w:rsidRDefault="00B85DD2" w:rsidP="006A0A5D">
      <w:pPr>
        <w:spacing w:after="240"/>
        <w:jc w:val="both"/>
        <w:rPr>
          <w:rFonts w:asciiTheme="minorHAnsi" w:hAnsiTheme="minorHAnsi" w:cstheme="minorHAnsi"/>
          <w:lang w:val="sr-Latn-RS"/>
        </w:rPr>
      </w:pPr>
      <w:r w:rsidRPr="00F5183F">
        <w:rPr>
          <w:rFonts w:asciiTheme="minorHAnsi" w:hAnsiTheme="minorHAnsi" w:cstheme="minorHAnsi"/>
          <w:lang w:val="sr-Latn-RS"/>
        </w:rPr>
        <w:t>P</w:t>
      </w:r>
      <w:r w:rsidR="006A0A5D" w:rsidRPr="00F5183F">
        <w:rPr>
          <w:rFonts w:asciiTheme="minorHAnsi" w:hAnsiTheme="minorHAnsi" w:cstheme="minorHAnsi"/>
          <w:lang w:val="sr-Latn-RS"/>
        </w:rPr>
        <w:t xml:space="preserve">oređenje sa podacima iz 2015. godine pokazuje </w:t>
      </w:r>
      <w:r w:rsidR="002B5BE8" w:rsidRPr="00F5183F">
        <w:rPr>
          <w:rFonts w:asciiTheme="minorHAnsi" w:hAnsiTheme="minorHAnsi" w:cstheme="minorHAnsi"/>
          <w:lang w:val="sr-Latn-RS"/>
        </w:rPr>
        <w:t xml:space="preserve">veliko </w:t>
      </w:r>
      <w:r w:rsidR="006A0A5D" w:rsidRPr="00F5183F">
        <w:rPr>
          <w:rFonts w:asciiTheme="minorHAnsi" w:hAnsiTheme="minorHAnsi" w:cstheme="minorHAnsi"/>
          <w:lang w:val="sr-Latn-RS"/>
        </w:rPr>
        <w:t xml:space="preserve">unapređenje u 2018. prema vrednostima dostupnosti i efikasnosti usluge, indikatorima učinka. </w:t>
      </w:r>
      <w:r w:rsidR="00BD1686" w:rsidRPr="00F5183F">
        <w:rPr>
          <w:rStyle w:val="FootnoteReference"/>
          <w:rFonts w:asciiTheme="minorHAnsi" w:hAnsiTheme="minorHAnsi" w:cstheme="minorHAnsi"/>
          <w:lang w:val="sr-Latn-RS"/>
        </w:rPr>
        <w:footnoteReference w:id="18"/>
      </w:r>
    </w:p>
    <w:p w14:paraId="283FD593" w14:textId="5E5513D6" w:rsidR="006A0A5D" w:rsidRPr="00F5183F" w:rsidRDefault="006A0A5D" w:rsidP="006A0A5D">
      <w:pPr>
        <w:jc w:val="both"/>
        <w:rPr>
          <w:rFonts w:asciiTheme="minorHAnsi" w:hAnsiTheme="minorHAnsi" w:cstheme="minorHAnsi"/>
          <w:iCs/>
          <w:lang w:val="sr-Latn-RS"/>
        </w:rPr>
      </w:pPr>
      <w:r w:rsidRPr="00F5183F">
        <w:rPr>
          <w:rFonts w:asciiTheme="minorHAnsi" w:hAnsiTheme="minorHAnsi" w:cstheme="minorHAnsi"/>
          <w:iCs/>
          <w:lang w:val="sr-Latn-RS"/>
        </w:rPr>
        <w:t xml:space="preserve">Tabela </w:t>
      </w:r>
      <w:r w:rsidR="004A3AF0" w:rsidRPr="00F5183F">
        <w:rPr>
          <w:rFonts w:asciiTheme="minorHAnsi" w:hAnsiTheme="minorHAnsi" w:cstheme="minorHAnsi"/>
          <w:iCs/>
          <w:lang w:val="sr-Latn-RS"/>
        </w:rPr>
        <w:t>6</w:t>
      </w:r>
      <w:r w:rsidRPr="00F5183F">
        <w:rPr>
          <w:rFonts w:asciiTheme="minorHAnsi" w:hAnsiTheme="minorHAnsi" w:cstheme="minorHAnsi"/>
          <w:iCs/>
          <w:lang w:val="sr-Latn-RS"/>
        </w:rPr>
        <w:t>. Indikatori učinka za uslugu pomoć u kući, 2015 i 2018.</w:t>
      </w:r>
    </w:p>
    <w:tbl>
      <w:tblPr>
        <w:tblStyle w:val="TableGrid"/>
        <w:tblW w:w="0" w:type="auto"/>
        <w:tblLook w:val="04A0" w:firstRow="1" w:lastRow="0" w:firstColumn="1" w:lastColumn="0" w:noHBand="0" w:noVBand="1"/>
      </w:tblPr>
      <w:tblGrid>
        <w:gridCol w:w="703"/>
        <w:gridCol w:w="1010"/>
        <w:gridCol w:w="1010"/>
        <w:gridCol w:w="1241"/>
        <w:gridCol w:w="1241"/>
        <w:gridCol w:w="1241"/>
        <w:gridCol w:w="1241"/>
      </w:tblGrid>
      <w:tr w:rsidR="006A0A5D" w:rsidRPr="00F5183F" w14:paraId="131243B3" w14:textId="77777777" w:rsidTr="00733277">
        <w:tc>
          <w:tcPr>
            <w:tcW w:w="703" w:type="dxa"/>
            <w:tcBorders>
              <w:top w:val="single" w:sz="4" w:space="0" w:color="auto"/>
              <w:left w:val="nil"/>
              <w:bottom w:val="nil"/>
              <w:right w:val="nil"/>
            </w:tcBorders>
          </w:tcPr>
          <w:p w14:paraId="33F12971" w14:textId="77777777" w:rsidR="006A0A5D" w:rsidRPr="00F5183F" w:rsidRDefault="006A0A5D" w:rsidP="0045668F">
            <w:pPr>
              <w:jc w:val="both"/>
              <w:rPr>
                <w:rFonts w:asciiTheme="minorHAnsi" w:hAnsiTheme="minorHAnsi" w:cstheme="minorHAnsi"/>
                <w:iCs/>
                <w:lang w:val="sr-Latn-RS"/>
              </w:rPr>
            </w:pPr>
          </w:p>
        </w:tc>
        <w:tc>
          <w:tcPr>
            <w:tcW w:w="3261" w:type="dxa"/>
            <w:gridSpan w:val="3"/>
            <w:tcBorders>
              <w:top w:val="single" w:sz="4" w:space="0" w:color="auto"/>
              <w:left w:val="nil"/>
              <w:bottom w:val="single" w:sz="4" w:space="0" w:color="auto"/>
              <w:right w:val="nil"/>
            </w:tcBorders>
          </w:tcPr>
          <w:p w14:paraId="45CFA101" w14:textId="77777777" w:rsidR="006A0A5D" w:rsidRPr="00F5183F" w:rsidRDefault="006A0A5D" w:rsidP="0045668F">
            <w:pPr>
              <w:jc w:val="center"/>
              <w:rPr>
                <w:rFonts w:asciiTheme="minorHAnsi" w:hAnsiTheme="minorHAnsi" w:cstheme="minorHAnsi"/>
                <w:iCs/>
                <w:lang w:val="sr-Latn-RS"/>
              </w:rPr>
            </w:pPr>
            <w:r w:rsidRPr="00F5183F">
              <w:rPr>
                <w:rFonts w:asciiTheme="minorHAnsi" w:hAnsiTheme="minorHAnsi" w:cstheme="minorHAnsi"/>
                <w:iCs/>
                <w:lang w:val="sr-Latn-RS"/>
              </w:rPr>
              <w:t>Bač</w:t>
            </w:r>
          </w:p>
        </w:tc>
        <w:tc>
          <w:tcPr>
            <w:tcW w:w="3723" w:type="dxa"/>
            <w:gridSpan w:val="3"/>
            <w:tcBorders>
              <w:top w:val="single" w:sz="4" w:space="0" w:color="auto"/>
              <w:left w:val="nil"/>
              <w:bottom w:val="single" w:sz="4" w:space="0" w:color="auto"/>
              <w:right w:val="nil"/>
            </w:tcBorders>
          </w:tcPr>
          <w:p w14:paraId="49606BBE" w14:textId="77777777" w:rsidR="006A0A5D" w:rsidRPr="00F5183F" w:rsidRDefault="006A0A5D" w:rsidP="0045668F">
            <w:pPr>
              <w:jc w:val="center"/>
              <w:rPr>
                <w:rFonts w:asciiTheme="minorHAnsi" w:hAnsiTheme="minorHAnsi" w:cstheme="minorHAnsi"/>
                <w:iCs/>
                <w:lang w:val="sr-Latn-RS"/>
              </w:rPr>
            </w:pPr>
            <w:r w:rsidRPr="00F5183F">
              <w:rPr>
                <w:rFonts w:asciiTheme="minorHAnsi" w:hAnsiTheme="minorHAnsi" w:cstheme="minorHAnsi"/>
                <w:iCs/>
                <w:lang w:val="sr-Latn-RS"/>
              </w:rPr>
              <w:t>Republika Srbija</w:t>
            </w:r>
          </w:p>
        </w:tc>
      </w:tr>
      <w:tr w:rsidR="006A0A5D" w:rsidRPr="00F5183F" w14:paraId="423BFB76" w14:textId="77777777" w:rsidTr="00733277">
        <w:tc>
          <w:tcPr>
            <w:tcW w:w="703" w:type="dxa"/>
            <w:tcBorders>
              <w:top w:val="nil"/>
              <w:left w:val="nil"/>
              <w:bottom w:val="single" w:sz="4" w:space="0" w:color="auto"/>
              <w:right w:val="nil"/>
            </w:tcBorders>
          </w:tcPr>
          <w:p w14:paraId="3EBBDE2E" w14:textId="77777777" w:rsidR="006A0A5D" w:rsidRPr="00F5183F" w:rsidRDefault="006A0A5D" w:rsidP="0045668F">
            <w:pPr>
              <w:jc w:val="both"/>
              <w:rPr>
                <w:rFonts w:asciiTheme="minorHAnsi" w:hAnsiTheme="minorHAnsi" w:cstheme="minorHAnsi"/>
                <w:iCs/>
                <w:lang w:val="sr-Latn-RS"/>
              </w:rPr>
            </w:pPr>
          </w:p>
        </w:tc>
        <w:tc>
          <w:tcPr>
            <w:tcW w:w="2020" w:type="dxa"/>
            <w:gridSpan w:val="2"/>
            <w:tcBorders>
              <w:top w:val="single" w:sz="4" w:space="0" w:color="auto"/>
              <w:left w:val="nil"/>
              <w:bottom w:val="single" w:sz="4" w:space="0" w:color="auto"/>
              <w:right w:val="nil"/>
            </w:tcBorders>
          </w:tcPr>
          <w:p w14:paraId="48474E5F" w14:textId="77777777" w:rsidR="006A0A5D" w:rsidRPr="00F5183F" w:rsidRDefault="006A0A5D" w:rsidP="0045668F">
            <w:pPr>
              <w:jc w:val="center"/>
              <w:rPr>
                <w:rFonts w:asciiTheme="minorHAnsi" w:hAnsiTheme="minorHAnsi" w:cstheme="minorHAnsi"/>
                <w:iCs/>
                <w:lang w:val="sr-Latn-RS"/>
              </w:rPr>
            </w:pPr>
            <w:r w:rsidRPr="00F5183F">
              <w:rPr>
                <w:rFonts w:asciiTheme="minorHAnsi" w:hAnsiTheme="minorHAnsi" w:cstheme="minorHAnsi"/>
                <w:iCs/>
                <w:lang w:val="sr-Latn-RS"/>
              </w:rPr>
              <w:t>Dostupnost</w:t>
            </w:r>
          </w:p>
        </w:tc>
        <w:tc>
          <w:tcPr>
            <w:tcW w:w="1241" w:type="dxa"/>
            <w:tcBorders>
              <w:top w:val="single" w:sz="4" w:space="0" w:color="auto"/>
              <w:left w:val="nil"/>
              <w:bottom w:val="single" w:sz="4" w:space="0" w:color="auto"/>
              <w:right w:val="nil"/>
            </w:tcBorders>
          </w:tcPr>
          <w:p w14:paraId="72966D2C" w14:textId="77777777" w:rsidR="006A0A5D" w:rsidRPr="00F5183F" w:rsidRDefault="006A0A5D" w:rsidP="0045668F">
            <w:pPr>
              <w:jc w:val="both"/>
              <w:rPr>
                <w:rFonts w:asciiTheme="minorHAnsi" w:hAnsiTheme="minorHAnsi" w:cstheme="minorHAnsi"/>
                <w:iCs/>
                <w:lang w:val="sr-Latn-RS"/>
              </w:rPr>
            </w:pPr>
            <w:r w:rsidRPr="00F5183F">
              <w:rPr>
                <w:rFonts w:asciiTheme="minorHAnsi" w:hAnsiTheme="minorHAnsi" w:cstheme="minorHAnsi"/>
                <w:iCs/>
                <w:lang w:val="sr-Latn-RS"/>
              </w:rPr>
              <w:t>Efikasnost</w:t>
            </w:r>
          </w:p>
        </w:tc>
        <w:tc>
          <w:tcPr>
            <w:tcW w:w="2482" w:type="dxa"/>
            <w:gridSpan w:val="2"/>
            <w:tcBorders>
              <w:top w:val="single" w:sz="4" w:space="0" w:color="auto"/>
              <w:left w:val="nil"/>
              <w:bottom w:val="single" w:sz="4" w:space="0" w:color="auto"/>
              <w:right w:val="nil"/>
            </w:tcBorders>
          </w:tcPr>
          <w:p w14:paraId="0FE728F3" w14:textId="77777777" w:rsidR="006A0A5D" w:rsidRPr="00F5183F" w:rsidRDefault="006A0A5D" w:rsidP="0045668F">
            <w:pPr>
              <w:jc w:val="center"/>
              <w:rPr>
                <w:rFonts w:asciiTheme="minorHAnsi" w:hAnsiTheme="minorHAnsi" w:cstheme="minorHAnsi"/>
                <w:iCs/>
                <w:lang w:val="sr-Latn-RS"/>
              </w:rPr>
            </w:pPr>
            <w:r w:rsidRPr="00F5183F">
              <w:rPr>
                <w:rFonts w:asciiTheme="minorHAnsi" w:hAnsiTheme="minorHAnsi" w:cstheme="minorHAnsi"/>
                <w:iCs/>
                <w:lang w:val="sr-Latn-RS"/>
              </w:rPr>
              <w:t>Dostupnost</w:t>
            </w:r>
          </w:p>
        </w:tc>
        <w:tc>
          <w:tcPr>
            <w:tcW w:w="1241" w:type="dxa"/>
            <w:tcBorders>
              <w:top w:val="single" w:sz="4" w:space="0" w:color="auto"/>
              <w:left w:val="nil"/>
              <w:bottom w:val="single" w:sz="4" w:space="0" w:color="auto"/>
              <w:right w:val="nil"/>
            </w:tcBorders>
          </w:tcPr>
          <w:p w14:paraId="321A9E69" w14:textId="77777777" w:rsidR="006A0A5D" w:rsidRPr="00F5183F" w:rsidRDefault="006A0A5D" w:rsidP="0045668F">
            <w:pPr>
              <w:jc w:val="both"/>
              <w:rPr>
                <w:rFonts w:asciiTheme="minorHAnsi" w:hAnsiTheme="minorHAnsi" w:cstheme="minorHAnsi"/>
                <w:iCs/>
                <w:lang w:val="sr-Latn-RS"/>
              </w:rPr>
            </w:pPr>
            <w:r w:rsidRPr="00F5183F">
              <w:rPr>
                <w:rFonts w:asciiTheme="minorHAnsi" w:hAnsiTheme="minorHAnsi" w:cstheme="minorHAnsi"/>
                <w:iCs/>
                <w:lang w:val="sr-Latn-RS"/>
              </w:rPr>
              <w:t>Efikasnost</w:t>
            </w:r>
          </w:p>
        </w:tc>
      </w:tr>
      <w:tr w:rsidR="006A0A5D" w:rsidRPr="00F5183F" w14:paraId="2672AC54" w14:textId="77777777" w:rsidTr="00380E93">
        <w:tc>
          <w:tcPr>
            <w:tcW w:w="703" w:type="dxa"/>
            <w:tcBorders>
              <w:top w:val="single" w:sz="4" w:space="0" w:color="auto"/>
              <w:left w:val="nil"/>
              <w:bottom w:val="nil"/>
              <w:right w:val="nil"/>
            </w:tcBorders>
          </w:tcPr>
          <w:p w14:paraId="122AA521" w14:textId="77777777" w:rsidR="006A0A5D" w:rsidRPr="00F5183F" w:rsidRDefault="006A0A5D" w:rsidP="0045668F">
            <w:pPr>
              <w:jc w:val="both"/>
              <w:rPr>
                <w:rFonts w:asciiTheme="minorHAnsi" w:hAnsiTheme="minorHAnsi" w:cstheme="minorHAnsi"/>
                <w:lang w:val="sr-Latn-RS"/>
              </w:rPr>
            </w:pPr>
          </w:p>
        </w:tc>
        <w:tc>
          <w:tcPr>
            <w:tcW w:w="1010" w:type="dxa"/>
            <w:tcBorders>
              <w:top w:val="single" w:sz="4" w:space="0" w:color="auto"/>
              <w:left w:val="nil"/>
              <w:bottom w:val="nil"/>
              <w:right w:val="nil"/>
            </w:tcBorders>
          </w:tcPr>
          <w:p w14:paraId="090D8C81" w14:textId="77777777" w:rsidR="006A0A5D" w:rsidRPr="00F5183F" w:rsidRDefault="006A0A5D" w:rsidP="0045668F">
            <w:pPr>
              <w:jc w:val="both"/>
              <w:rPr>
                <w:rFonts w:asciiTheme="minorHAnsi" w:hAnsiTheme="minorHAnsi" w:cstheme="minorHAnsi"/>
                <w:lang w:val="sr-Latn-RS"/>
              </w:rPr>
            </w:pPr>
            <w:r w:rsidRPr="00F5183F">
              <w:rPr>
                <w:rFonts w:asciiTheme="minorHAnsi" w:hAnsiTheme="minorHAnsi" w:cstheme="minorHAnsi"/>
                <w:lang w:val="sr-Latn-RS"/>
              </w:rPr>
              <w:t>OSO (%)</w:t>
            </w:r>
          </w:p>
        </w:tc>
        <w:tc>
          <w:tcPr>
            <w:tcW w:w="1010" w:type="dxa"/>
            <w:tcBorders>
              <w:top w:val="single" w:sz="4" w:space="0" w:color="auto"/>
              <w:left w:val="nil"/>
              <w:bottom w:val="nil"/>
              <w:right w:val="nil"/>
            </w:tcBorders>
          </w:tcPr>
          <w:p w14:paraId="67D3D61A" w14:textId="77777777" w:rsidR="006A0A5D" w:rsidRPr="00F5183F" w:rsidRDefault="006A0A5D" w:rsidP="0045668F">
            <w:pPr>
              <w:jc w:val="both"/>
              <w:rPr>
                <w:rFonts w:asciiTheme="minorHAnsi" w:hAnsiTheme="minorHAnsi" w:cstheme="minorHAnsi"/>
                <w:lang w:val="sr-Latn-RS"/>
              </w:rPr>
            </w:pPr>
            <w:r w:rsidRPr="00F5183F">
              <w:rPr>
                <w:rFonts w:asciiTheme="minorHAnsi" w:hAnsiTheme="minorHAnsi" w:cstheme="minorHAnsi"/>
                <w:lang w:val="sr-Latn-RS"/>
              </w:rPr>
              <w:t>HSO (%)</w:t>
            </w:r>
          </w:p>
        </w:tc>
        <w:tc>
          <w:tcPr>
            <w:tcW w:w="1241" w:type="dxa"/>
            <w:tcBorders>
              <w:top w:val="single" w:sz="4" w:space="0" w:color="auto"/>
              <w:left w:val="nil"/>
              <w:bottom w:val="nil"/>
              <w:right w:val="nil"/>
            </w:tcBorders>
          </w:tcPr>
          <w:p w14:paraId="44C987D9" w14:textId="77777777" w:rsidR="006A0A5D" w:rsidRPr="00F5183F" w:rsidRDefault="006A0A5D" w:rsidP="0045668F">
            <w:pPr>
              <w:jc w:val="both"/>
              <w:rPr>
                <w:rFonts w:asciiTheme="minorHAnsi" w:hAnsiTheme="minorHAnsi" w:cstheme="minorHAnsi"/>
                <w:lang w:val="sr-Latn-RS"/>
              </w:rPr>
            </w:pPr>
            <w:r w:rsidRPr="00F5183F">
              <w:rPr>
                <w:rFonts w:asciiTheme="minorHAnsi" w:hAnsiTheme="minorHAnsi" w:cstheme="minorHAnsi"/>
                <w:lang w:val="sr-Latn-RS"/>
              </w:rPr>
              <w:t>JTU (RSD)</w:t>
            </w:r>
          </w:p>
        </w:tc>
        <w:tc>
          <w:tcPr>
            <w:tcW w:w="1241" w:type="dxa"/>
            <w:tcBorders>
              <w:top w:val="single" w:sz="4" w:space="0" w:color="auto"/>
              <w:left w:val="nil"/>
              <w:bottom w:val="nil"/>
              <w:right w:val="nil"/>
            </w:tcBorders>
          </w:tcPr>
          <w:p w14:paraId="026D78F6" w14:textId="77777777" w:rsidR="006A0A5D" w:rsidRPr="00F5183F" w:rsidRDefault="006A0A5D" w:rsidP="0045668F">
            <w:pPr>
              <w:jc w:val="both"/>
              <w:rPr>
                <w:rFonts w:asciiTheme="minorHAnsi" w:hAnsiTheme="minorHAnsi" w:cstheme="minorHAnsi"/>
                <w:lang w:val="sr-Latn-RS"/>
              </w:rPr>
            </w:pPr>
            <w:r w:rsidRPr="00F5183F">
              <w:rPr>
                <w:rFonts w:asciiTheme="minorHAnsi" w:hAnsiTheme="minorHAnsi" w:cstheme="minorHAnsi"/>
                <w:lang w:val="sr-Latn-RS"/>
              </w:rPr>
              <w:t>OSO (%)</w:t>
            </w:r>
          </w:p>
        </w:tc>
        <w:tc>
          <w:tcPr>
            <w:tcW w:w="1241" w:type="dxa"/>
            <w:tcBorders>
              <w:top w:val="single" w:sz="4" w:space="0" w:color="auto"/>
              <w:left w:val="nil"/>
              <w:bottom w:val="nil"/>
              <w:right w:val="nil"/>
            </w:tcBorders>
          </w:tcPr>
          <w:p w14:paraId="3CC622C6" w14:textId="77777777" w:rsidR="006A0A5D" w:rsidRPr="00F5183F" w:rsidRDefault="006A0A5D" w:rsidP="0045668F">
            <w:pPr>
              <w:jc w:val="both"/>
              <w:rPr>
                <w:rFonts w:asciiTheme="minorHAnsi" w:hAnsiTheme="minorHAnsi" w:cstheme="minorHAnsi"/>
                <w:lang w:val="sr-Latn-RS"/>
              </w:rPr>
            </w:pPr>
            <w:r w:rsidRPr="00F5183F">
              <w:rPr>
                <w:rFonts w:asciiTheme="minorHAnsi" w:hAnsiTheme="minorHAnsi" w:cstheme="minorHAnsi"/>
                <w:lang w:val="sr-Latn-RS"/>
              </w:rPr>
              <w:t>HSO (%)</w:t>
            </w:r>
          </w:p>
        </w:tc>
        <w:tc>
          <w:tcPr>
            <w:tcW w:w="1241" w:type="dxa"/>
            <w:tcBorders>
              <w:top w:val="single" w:sz="4" w:space="0" w:color="auto"/>
              <w:left w:val="nil"/>
              <w:bottom w:val="nil"/>
              <w:right w:val="nil"/>
            </w:tcBorders>
          </w:tcPr>
          <w:p w14:paraId="1830E29F" w14:textId="77777777" w:rsidR="006A0A5D" w:rsidRPr="00F5183F" w:rsidRDefault="006A0A5D" w:rsidP="0045668F">
            <w:pPr>
              <w:jc w:val="both"/>
              <w:rPr>
                <w:rFonts w:asciiTheme="minorHAnsi" w:hAnsiTheme="minorHAnsi" w:cstheme="minorHAnsi"/>
                <w:lang w:val="sr-Latn-RS"/>
              </w:rPr>
            </w:pPr>
            <w:r w:rsidRPr="00F5183F">
              <w:rPr>
                <w:rFonts w:asciiTheme="minorHAnsi" w:hAnsiTheme="minorHAnsi" w:cstheme="minorHAnsi"/>
                <w:lang w:val="sr-Latn-RS"/>
              </w:rPr>
              <w:t>JTU (RSD)</w:t>
            </w:r>
          </w:p>
        </w:tc>
      </w:tr>
      <w:tr w:rsidR="006A0A5D" w:rsidRPr="00F5183F" w14:paraId="37A451A6" w14:textId="77777777" w:rsidTr="00380E93">
        <w:tc>
          <w:tcPr>
            <w:tcW w:w="703" w:type="dxa"/>
            <w:tcBorders>
              <w:top w:val="nil"/>
              <w:left w:val="nil"/>
              <w:bottom w:val="nil"/>
              <w:right w:val="nil"/>
            </w:tcBorders>
          </w:tcPr>
          <w:p w14:paraId="1849DFB2" w14:textId="77777777" w:rsidR="006A0A5D" w:rsidRPr="00F5183F" w:rsidRDefault="006A0A5D" w:rsidP="0045668F">
            <w:pPr>
              <w:jc w:val="both"/>
              <w:rPr>
                <w:rFonts w:asciiTheme="minorHAnsi" w:hAnsiTheme="minorHAnsi" w:cstheme="minorHAnsi"/>
                <w:lang w:val="sr-Latn-RS"/>
              </w:rPr>
            </w:pPr>
            <w:r w:rsidRPr="00F5183F">
              <w:rPr>
                <w:rFonts w:asciiTheme="minorHAnsi" w:hAnsiTheme="minorHAnsi" w:cstheme="minorHAnsi"/>
                <w:lang w:val="sr-Latn-RS"/>
              </w:rPr>
              <w:t>2015</w:t>
            </w:r>
          </w:p>
        </w:tc>
        <w:tc>
          <w:tcPr>
            <w:tcW w:w="1010" w:type="dxa"/>
            <w:tcBorders>
              <w:top w:val="nil"/>
              <w:left w:val="nil"/>
              <w:bottom w:val="nil"/>
              <w:right w:val="nil"/>
            </w:tcBorders>
          </w:tcPr>
          <w:p w14:paraId="65176696" w14:textId="77777777" w:rsidR="006A0A5D" w:rsidRPr="00F5183F" w:rsidRDefault="006A0A5D" w:rsidP="0045668F">
            <w:pPr>
              <w:jc w:val="right"/>
              <w:rPr>
                <w:rFonts w:asciiTheme="minorHAnsi" w:hAnsiTheme="minorHAnsi" w:cstheme="minorHAnsi"/>
                <w:lang w:val="sr-Latn-RS"/>
              </w:rPr>
            </w:pPr>
            <w:r w:rsidRPr="00F5183F">
              <w:rPr>
                <w:rFonts w:asciiTheme="minorHAnsi" w:hAnsiTheme="minorHAnsi" w:cstheme="minorHAnsi"/>
                <w:lang w:val="sr-Latn-RS"/>
              </w:rPr>
              <w:t>3,2</w:t>
            </w:r>
          </w:p>
        </w:tc>
        <w:tc>
          <w:tcPr>
            <w:tcW w:w="1010" w:type="dxa"/>
            <w:tcBorders>
              <w:top w:val="nil"/>
              <w:left w:val="nil"/>
              <w:bottom w:val="nil"/>
              <w:right w:val="nil"/>
            </w:tcBorders>
          </w:tcPr>
          <w:p w14:paraId="4DC767CD" w14:textId="77777777" w:rsidR="006A0A5D" w:rsidRPr="00F5183F" w:rsidRDefault="006A0A5D" w:rsidP="0045668F">
            <w:pPr>
              <w:jc w:val="right"/>
              <w:rPr>
                <w:rFonts w:asciiTheme="minorHAnsi" w:hAnsiTheme="minorHAnsi" w:cstheme="minorHAnsi"/>
                <w:lang w:val="sr-Latn-RS"/>
              </w:rPr>
            </w:pPr>
            <w:r w:rsidRPr="00F5183F">
              <w:rPr>
                <w:rFonts w:asciiTheme="minorHAnsi" w:hAnsiTheme="minorHAnsi" w:cstheme="minorHAnsi"/>
                <w:lang w:val="sr-Latn-RS"/>
              </w:rPr>
              <w:t>0,9</w:t>
            </w:r>
          </w:p>
        </w:tc>
        <w:tc>
          <w:tcPr>
            <w:tcW w:w="1241" w:type="dxa"/>
            <w:tcBorders>
              <w:top w:val="nil"/>
              <w:left w:val="nil"/>
              <w:bottom w:val="nil"/>
              <w:right w:val="nil"/>
            </w:tcBorders>
          </w:tcPr>
          <w:p w14:paraId="75E5FF1B" w14:textId="77777777" w:rsidR="006A0A5D" w:rsidRPr="00F5183F" w:rsidRDefault="006A0A5D" w:rsidP="0045668F">
            <w:pPr>
              <w:jc w:val="right"/>
              <w:rPr>
                <w:rFonts w:asciiTheme="minorHAnsi" w:hAnsiTheme="minorHAnsi" w:cstheme="minorHAnsi"/>
                <w:lang w:val="sr-Latn-RS"/>
              </w:rPr>
            </w:pPr>
            <w:r w:rsidRPr="00F5183F">
              <w:rPr>
                <w:rFonts w:asciiTheme="minorHAnsi" w:hAnsiTheme="minorHAnsi" w:cstheme="minorHAnsi"/>
                <w:lang w:val="sr-Latn-RS"/>
              </w:rPr>
              <w:t>433</w:t>
            </w:r>
          </w:p>
        </w:tc>
        <w:tc>
          <w:tcPr>
            <w:tcW w:w="1241" w:type="dxa"/>
            <w:tcBorders>
              <w:top w:val="nil"/>
              <w:left w:val="nil"/>
              <w:bottom w:val="nil"/>
              <w:right w:val="nil"/>
            </w:tcBorders>
          </w:tcPr>
          <w:p w14:paraId="1378B4A2" w14:textId="77777777" w:rsidR="006A0A5D" w:rsidRPr="00F5183F" w:rsidRDefault="006A0A5D" w:rsidP="0045668F">
            <w:pPr>
              <w:jc w:val="right"/>
              <w:rPr>
                <w:rFonts w:asciiTheme="minorHAnsi" w:hAnsiTheme="minorHAnsi" w:cstheme="minorHAnsi"/>
                <w:lang w:val="sr-Latn-RS"/>
              </w:rPr>
            </w:pPr>
            <w:r w:rsidRPr="00F5183F">
              <w:rPr>
                <w:rFonts w:asciiTheme="minorHAnsi" w:hAnsiTheme="minorHAnsi" w:cstheme="minorHAnsi"/>
                <w:lang w:val="sr-Latn-RS"/>
              </w:rPr>
              <w:t>1,1</w:t>
            </w:r>
          </w:p>
        </w:tc>
        <w:tc>
          <w:tcPr>
            <w:tcW w:w="1241" w:type="dxa"/>
            <w:tcBorders>
              <w:top w:val="nil"/>
              <w:left w:val="nil"/>
              <w:bottom w:val="nil"/>
              <w:right w:val="nil"/>
            </w:tcBorders>
          </w:tcPr>
          <w:p w14:paraId="18B66E37" w14:textId="77777777" w:rsidR="006A0A5D" w:rsidRPr="00F5183F" w:rsidRDefault="006A0A5D" w:rsidP="0045668F">
            <w:pPr>
              <w:jc w:val="right"/>
              <w:rPr>
                <w:rFonts w:asciiTheme="minorHAnsi" w:hAnsiTheme="minorHAnsi" w:cstheme="minorHAnsi"/>
                <w:lang w:val="sr-Latn-RS"/>
              </w:rPr>
            </w:pPr>
            <w:r w:rsidRPr="00F5183F">
              <w:rPr>
                <w:rFonts w:asciiTheme="minorHAnsi" w:hAnsiTheme="minorHAnsi" w:cstheme="minorHAnsi"/>
                <w:lang w:val="sr-Latn-RS"/>
              </w:rPr>
              <w:t>0,6</w:t>
            </w:r>
          </w:p>
        </w:tc>
        <w:tc>
          <w:tcPr>
            <w:tcW w:w="1241" w:type="dxa"/>
            <w:tcBorders>
              <w:top w:val="nil"/>
              <w:left w:val="nil"/>
              <w:bottom w:val="nil"/>
              <w:right w:val="nil"/>
            </w:tcBorders>
          </w:tcPr>
          <w:p w14:paraId="29AEF2C6" w14:textId="77777777" w:rsidR="006A0A5D" w:rsidRPr="00F5183F" w:rsidRDefault="006A0A5D" w:rsidP="0045668F">
            <w:pPr>
              <w:jc w:val="right"/>
              <w:rPr>
                <w:rFonts w:asciiTheme="minorHAnsi" w:hAnsiTheme="minorHAnsi" w:cstheme="minorHAnsi"/>
                <w:lang w:val="sr-Latn-RS"/>
              </w:rPr>
            </w:pPr>
            <w:r w:rsidRPr="00F5183F">
              <w:rPr>
                <w:rFonts w:asciiTheme="minorHAnsi" w:hAnsiTheme="minorHAnsi" w:cstheme="minorHAnsi"/>
                <w:lang w:val="sr-Latn-RS"/>
              </w:rPr>
              <w:t>251</w:t>
            </w:r>
          </w:p>
        </w:tc>
      </w:tr>
      <w:tr w:rsidR="006A0A5D" w:rsidRPr="00F5183F" w14:paraId="2CA3FB34" w14:textId="77777777" w:rsidTr="00380E93">
        <w:tc>
          <w:tcPr>
            <w:tcW w:w="703" w:type="dxa"/>
            <w:tcBorders>
              <w:top w:val="nil"/>
              <w:left w:val="nil"/>
              <w:bottom w:val="single" w:sz="4" w:space="0" w:color="auto"/>
              <w:right w:val="nil"/>
            </w:tcBorders>
          </w:tcPr>
          <w:p w14:paraId="35DD1E3A" w14:textId="77777777" w:rsidR="006A0A5D" w:rsidRPr="00F5183F" w:rsidRDefault="006A0A5D" w:rsidP="0045668F">
            <w:pPr>
              <w:jc w:val="both"/>
              <w:rPr>
                <w:rFonts w:asciiTheme="minorHAnsi" w:hAnsiTheme="minorHAnsi" w:cstheme="minorHAnsi"/>
                <w:lang w:val="sr-Latn-RS"/>
              </w:rPr>
            </w:pPr>
            <w:r w:rsidRPr="00F5183F">
              <w:rPr>
                <w:rFonts w:asciiTheme="minorHAnsi" w:hAnsiTheme="minorHAnsi" w:cstheme="minorHAnsi"/>
                <w:lang w:val="sr-Latn-RS"/>
              </w:rPr>
              <w:t>2018</w:t>
            </w:r>
          </w:p>
        </w:tc>
        <w:tc>
          <w:tcPr>
            <w:tcW w:w="1010" w:type="dxa"/>
            <w:tcBorders>
              <w:top w:val="nil"/>
              <w:left w:val="nil"/>
              <w:bottom w:val="single" w:sz="4" w:space="0" w:color="auto"/>
              <w:right w:val="nil"/>
            </w:tcBorders>
          </w:tcPr>
          <w:p w14:paraId="7EDD7780" w14:textId="77777777" w:rsidR="006A0A5D" w:rsidRPr="00F5183F" w:rsidRDefault="006A0A5D" w:rsidP="0045668F">
            <w:pPr>
              <w:jc w:val="right"/>
              <w:rPr>
                <w:rFonts w:asciiTheme="minorHAnsi" w:hAnsiTheme="minorHAnsi" w:cstheme="minorHAnsi"/>
                <w:lang w:val="sr-Latn-RS"/>
              </w:rPr>
            </w:pPr>
            <w:r w:rsidRPr="00F5183F">
              <w:rPr>
                <w:rFonts w:asciiTheme="minorHAnsi" w:hAnsiTheme="minorHAnsi" w:cstheme="minorHAnsi"/>
                <w:lang w:val="sr-Latn-RS"/>
              </w:rPr>
              <w:t>5,1</w:t>
            </w:r>
          </w:p>
        </w:tc>
        <w:tc>
          <w:tcPr>
            <w:tcW w:w="1010" w:type="dxa"/>
            <w:tcBorders>
              <w:top w:val="nil"/>
              <w:left w:val="nil"/>
              <w:bottom w:val="single" w:sz="4" w:space="0" w:color="auto"/>
              <w:right w:val="nil"/>
            </w:tcBorders>
          </w:tcPr>
          <w:p w14:paraId="113E60F0" w14:textId="77777777" w:rsidR="006A0A5D" w:rsidRPr="00F5183F" w:rsidRDefault="006A0A5D" w:rsidP="0045668F">
            <w:pPr>
              <w:jc w:val="right"/>
              <w:rPr>
                <w:rFonts w:asciiTheme="minorHAnsi" w:hAnsiTheme="minorHAnsi" w:cstheme="minorHAnsi"/>
                <w:lang w:val="sr-Latn-RS"/>
              </w:rPr>
            </w:pPr>
            <w:r w:rsidRPr="00F5183F">
              <w:rPr>
                <w:rFonts w:asciiTheme="minorHAnsi" w:hAnsiTheme="minorHAnsi" w:cstheme="minorHAnsi"/>
                <w:lang w:val="sr-Latn-RS"/>
              </w:rPr>
              <w:t>2,6</w:t>
            </w:r>
          </w:p>
        </w:tc>
        <w:tc>
          <w:tcPr>
            <w:tcW w:w="1241" w:type="dxa"/>
            <w:tcBorders>
              <w:top w:val="nil"/>
              <w:left w:val="nil"/>
              <w:bottom w:val="single" w:sz="4" w:space="0" w:color="auto"/>
              <w:right w:val="nil"/>
            </w:tcBorders>
          </w:tcPr>
          <w:p w14:paraId="21199F58" w14:textId="77777777" w:rsidR="006A0A5D" w:rsidRPr="00F5183F" w:rsidRDefault="006A0A5D" w:rsidP="0045668F">
            <w:pPr>
              <w:jc w:val="right"/>
              <w:rPr>
                <w:rFonts w:asciiTheme="minorHAnsi" w:hAnsiTheme="minorHAnsi" w:cstheme="minorHAnsi"/>
                <w:lang w:val="sr-Latn-RS"/>
              </w:rPr>
            </w:pPr>
            <w:r w:rsidRPr="00F5183F">
              <w:rPr>
                <w:rFonts w:asciiTheme="minorHAnsi" w:hAnsiTheme="minorHAnsi" w:cstheme="minorHAnsi"/>
                <w:lang w:val="sr-Latn-RS"/>
              </w:rPr>
              <w:t>283</w:t>
            </w:r>
          </w:p>
        </w:tc>
        <w:tc>
          <w:tcPr>
            <w:tcW w:w="1241" w:type="dxa"/>
            <w:tcBorders>
              <w:top w:val="nil"/>
              <w:left w:val="nil"/>
              <w:bottom w:val="single" w:sz="4" w:space="0" w:color="auto"/>
              <w:right w:val="nil"/>
            </w:tcBorders>
          </w:tcPr>
          <w:p w14:paraId="6F02C9BC" w14:textId="77777777" w:rsidR="006A0A5D" w:rsidRPr="00F5183F" w:rsidRDefault="006A0A5D" w:rsidP="0045668F">
            <w:pPr>
              <w:jc w:val="right"/>
              <w:rPr>
                <w:rFonts w:asciiTheme="minorHAnsi" w:hAnsiTheme="minorHAnsi" w:cstheme="minorHAnsi"/>
                <w:lang w:val="sr-Latn-RS"/>
              </w:rPr>
            </w:pPr>
            <w:r w:rsidRPr="00F5183F">
              <w:rPr>
                <w:rFonts w:asciiTheme="minorHAnsi" w:hAnsiTheme="minorHAnsi" w:cstheme="minorHAnsi"/>
                <w:lang w:val="sr-Latn-RS"/>
              </w:rPr>
              <w:t>1,3</w:t>
            </w:r>
          </w:p>
        </w:tc>
        <w:tc>
          <w:tcPr>
            <w:tcW w:w="1241" w:type="dxa"/>
            <w:tcBorders>
              <w:top w:val="nil"/>
              <w:left w:val="nil"/>
              <w:bottom w:val="single" w:sz="4" w:space="0" w:color="auto"/>
              <w:right w:val="nil"/>
            </w:tcBorders>
          </w:tcPr>
          <w:p w14:paraId="5902182C" w14:textId="77777777" w:rsidR="006A0A5D" w:rsidRPr="00F5183F" w:rsidRDefault="006A0A5D" w:rsidP="0045668F">
            <w:pPr>
              <w:jc w:val="right"/>
              <w:rPr>
                <w:rFonts w:asciiTheme="minorHAnsi" w:hAnsiTheme="minorHAnsi" w:cstheme="minorHAnsi"/>
                <w:lang w:val="sr-Latn-RS"/>
              </w:rPr>
            </w:pPr>
            <w:r w:rsidRPr="00F5183F">
              <w:rPr>
                <w:rFonts w:asciiTheme="minorHAnsi" w:hAnsiTheme="minorHAnsi" w:cstheme="minorHAnsi"/>
                <w:lang w:val="sr-Latn-RS"/>
              </w:rPr>
              <w:t>0,7</w:t>
            </w:r>
          </w:p>
        </w:tc>
        <w:tc>
          <w:tcPr>
            <w:tcW w:w="1241" w:type="dxa"/>
            <w:tcBorders>
              <w:top w:val="nil"/>
              <w:left w:val="nil"/>
              <w:bottom w:val="single" w:sz="4" w:space="0" w:color="auto"/>
              <w:right w:val="nil"/>
            </w:tcBorders>
          </w:tcPr>
          <w:p w14:paraId="406638F6" w14:textId="77777777" w:rsidR="006A0A5D" w:rsidRPr="00F5183F" w:rsidRDefault="006A0A5D" w:rsidP="0045668F">
            <w:pPr>
              <w:jc w:val="right"/>
              <w:rPr>
                <w:rFonts w:asciiTheme="minorHAnsi" w:hAnsiTheme="minorHAnsi" w:cstheme="minorHAnsi"/>
                <w:lang w:val="sr-Latn-RS"/>
              </w:rPr>
            </w:pPr>
            <w:r w:rsidRPr="00F5183F">
              <w:rPr>
                <w:rFonts w:asciiTheme="minorHAnsi" w:hAnsiTheme="minorHAnsi" w:cstheme="minorHAnsi"/>
                <w:lang w:val="sr-Latn-RS"/>
              </w:rPr>
              <w:t>333</w:t>
            </w:r>
          </w:p>
        </w:tc>
      </w:tr>
    </w:tbl>
    <w:p w14:paraId="29E8B875" w14:textId="77777777" w:rsidR="006A0A5D" w:rsidRPr="00F5183F" w:rsidRDefault="006A0A5D" w:rsidP="006A0A5D">
      <w:pPr>
        <w:rPr>
          <w:rFonts w:asciiTheme="minorHAnsi" w:hAnsiTheme="minorHAnsi" w:cstheme="minorHAnsi"/>
          <w:sz w:val="20"/>
          <w:szCs w:val="20"/>
          <w:lang w:val="sr-Latn-RS"/>
        </w:rPr>
      </w:pPr>
      <w:r w:rsidRPr="00F5183F">
        <w:rPr>
          <w:rFonts w:asciiTheme="minorHAnsi" w:hAnsiTheme="minorHAnsi" w:cstheme="minorHAnsi"/>
          <w:lang w:val="sr-Latn-RS"/>
        </w:rPr>
        <w:t>I</w:t>
      </w:r>
      <w:r w:rsidRPr="00F5183F">
        <w:rPr>
          <w:rFonts w:asciiTheme="minorHAnsi" w:hAnsiTheme="minorHAnsi" w:cstheme="minorHAnsi"/>
          <w:sz w:val="20"/>
          <w:szCs w:val="20"/>
          <w:lang w:val="sr-Latn-RS"/>
        </w:rPr>
        <w:t xml:space="preserve">zvor: </w:t>
      </w:r>
      <w:hyperlink r:id="rId16" w:history="1">
        <w:r w:rsidRPr="00F5183F">
          <w:rPr>
            <w:rFonts w:asciiTheme="minorHAnsi" w:hAnsiTheme="minorHAnsi" w:cstheme="minorHAnsi"/>
            <w:i/>
            <w:color w:val="0000FF"/>
            <w:sz w:val="20"/>
            <w:szCs w:val="20"/>
            <w:u w:val="single"/>
            <w:lang w:val="sr-Latn-RS"/>
          </w:rPr>
          <w:t>Mapiranje usluga socijalne zaštite i materijalne podrške u nadležnosti JLS u Republici Srbiji</w:t>
        </w:r>
      </w:hyperlink>
      <w:r w:rsidRPr="00F5183F">
        <w:rPr>
          <w:rFonts w:asciiTheme="minorHAnsi" w:hAnsiTheme="minorHAnsi" w:cstheme="minorHAnsi"/>
          <w:i/>
          <w:color w:val="0000FF"/>
          <w:sz w:val="20"/>
          <w:szCs w:val="20"/>
          <w:u w:val="single"/>
          <w:lang w:val="sr-Latn-RS"/>
        </w:rPr>
        <w:t xml:space="preserve"> </w:t>
      </w:r>
      <w:r w:rsidRPr="00F5183F">
        <w:rPr>
          <w:rFonts w:asciiTheme="minorHAnsi" w:hAnsiTheme="minorHAnsi" w:cstheme="minorHAnsi"/>
          <w:color w:val="0000FF"/>
          <w:sz w:val="20"/>
          <w:szCs w:val="20"/>
          <w:u w:val="single"/>
          <w:lang w:val="sr-Latn-RS"/>
        </w:rPr>
        <w:t xml:space="preserve"> 2015 i 2018</w:t>
      </w:r>
    </w:p>
    <w:p w14:paraId="5FF92DAE" w14:textId="77777777" w:rsidR="006A0A5D" w:rsidRPr="00F5183F" w:rsidRDefault="006A0A5D" w:rsidP="006A0A5D">
      <w:pPr>
        <w:spacing w:after="240"/>
        <w:jc w:val="both"/>
        <w:rPr>
          <w:rFonts w:asciiTheme="minorHAnsi" w:hAnsiTheme="minorHAnsi" w:cstheme="minorHAnsi"/>
          <w:i/>
          <w:sz w:val="20"/>
          <w:szCs w:val="20"/>
          <w:lang w:val="sr-Latn-RS"/>
        </w:rPr>
      </w:pPr>
      <w:r w:rsidRPr="00F5183F">
        <w:rPr>
          <w:rFonts w:asciiTheme="minorHAnsi" w:hAnsiTheme="minorHAnsi" w:cstheme="minorHAnsi"/>
          <w:i/>
          <w:sz w:val="20"/>
          <w:szCs w:val="20"/>
          <w:lang w:val="sr-Latn-RS"/>
        </w:rPr>
        <w:t>Napomena: OSO – opšta stopa obuhvata, HSO – hipotetička stopa obuhvata, JTU – jedinični trošak usluge</w:t>
      </w:r>
    </w:p>
    <w:p w14:paraId="4BBDB530" w14:textId="1403F84C" w:rsidR="0036370C" w:rsidRPr="00F5183F" w:rsidRDefault="006A0A5D" w:rsidP="006A0A5D">
      <w:pPr>
        <w:spacing w:after="120"/>
        <w:jc w:val="both"/>
        <w:rPr>
          <w:rFonts w:asciiTheme="minorHAnsi" w:hAnsiTheme="minorHAnsi" w:cstheme="minorHAnsi"/>
          <w:lang w:val="sr-Latn-RS"/>
        </w:rPr>
      </w:pPr>
      <w:r w:rsidRPr="00F5183F">
        <w:rPr>
          <w:rFonts w:asciiTheme="minorHAnsi" w:hAnsiTheme="minorHAnsi" w:cstheme="minorHAnsi"/>
          <w:lang w:val="sr-Latn-RS"/>
        </w:rPr>
        <w:t xml:space="preserve">Uslugom lični pratilac deteta je u 2018. godine obuhvaćeno 9 korisnika, 30% su ženskog pola, a 70% iz seoskog područja. Ukupni rashodi usluge su iznosili 3 miliona </w:t>
      </w:r>
      <w:r w:rsidR="00562B6C" w:rsidRPr="00F5183F">
        <w:rPr>
          <w:rFonts w:asciiTheme="minorHAnsi" w:hAnsiTheme="minorHAnsi" w:cstheme="minorHAnsi"/>
          <w:lang w:val="sr-Latn-RS"/>
        </w:rPr>
        <w:t>RSD</w:t>
      </w:r>
      <w:r w:rsidRPr="00F5183F">
        <w:rPr>
          <w:rFonts w:asciiTheme="minorHAnsi" w:hAnsiTheme="minorHAnsi" w:cstheme="minorHAnsi"/>
          <w:lang w:val="sr-Latn-RS"/>
        </w:rPr>
        <w:t xml:space="preserve"> i u potpunosti su obezbeđeni iz sredstava namenskog transfera. Prepoznajući važnost ove usluge za obrazovnu inkluziji i potrebe korisnika, u nedostatku sopstvenih kapaciteta, opština Bač se  opredelila da “nabavi“ uslugu od licenciranog pružaoca iz Beograda, organizacije </w:t>
      </w:r>
      <w:r w:rsidRPr="00F5183F">
        <w:rPr>
          <w:rFonts w:asciiTheme="minorHAnsi" w:hAnsiTheme="minorHAnsi" w:cstheme="minorHAnsi"/>
          <w:i/>
          <w:lang w:val="sr-Latn-RS"/>
        </w:rPr>
        <w:t>Dečije srce</w:t>
      </w:r>
      <w:r w:rsidRPr="00F5183F">
        <w:rPr>
          <w:rFonts w:asciiTheme="minorHAnsi" w:hAnsiTheme="minorHAnsi" w:cstheme="minorHAnsi"/>
          <w:lang w:val="sr-Latn-RS"/>
        </w:rPr>
        <w:t xml:space="preserve">. Na taj način su zadovoljene prioritetne potrebe u lokalnoj zajednici. </w:t>
      </w:r>
      <w:r w:rsidR="00F1712C" w:rsidRPr="00F5183F">
        <w:rPr>
          <w:rFonts w:asciiTheme="minorHAnsi" w:hAnsiTheme="minorHAnsi" w:cstheme="minorHAnsi"/>
          <w:lang w:val="sr-Latn-RS"/>
        </w:rPr>
        <w:t xml:space="preserve">U odnosu  na 2015. godinu kada je usluga </w:t>
      </w:r>
      <w:r w:rsidR="00210390" w:rsidRPr="00F5183F">
        <w:rPr>
          <w:rFonts w:asciiTheme="minorHAnsi" w:hAnsiTheme="minorHAnsi" w:cstheme="minorHAnsi"/>
          <w:lang w:val="sr-Latn-RS"/>
        </w:rPr>
        <w:t xml:space="preserve">obezbeđena </w:t>
      </w:r>
      <w:r w:rsidR="00F1712C" w:rsidRPr="00F5183F">
        <w:rPr>
          <w:rFonts w:asciiTheme="minorHAnsi" w:hAnsiTheme="minorHAnsi" w:cstheme="minorHAnsi"/>
          <w:lang w:val="sr-Latn-RS"/>
        </w:rPr>
        <w:t xml:space="preserve">za samo 4 korisnika tokom 4 meseca postignuto značajno poboljšanje i sa aspekta normativnog okvira i sa aspekta </w:t>
      </w:r>
      <w:r w:rsidR="00210390" w:rsidRPr="00F5183F">
        <w:rPr>
          <w:rFonts w:asciiTheme="minorHAnsi" w:hAnsiTheme="minorHAnsi" w:cstheme="minorHAnsi"/>
          <w:lang w:val="sr-Latn-RS"/>
        </w:rPr>
        <w:t>indikatora učinka.</w:t>
      </w:r>
    </w:p>
    <w:p w14:paraId="74C72D0C" w14:textId="07967FF4" w:rsidR="006A0A5D" w:rsidRPr="00F5183F" w:rsidRDefault="006A0A5D" w:rsidP="006A0A5D">
      <w:pPr>
        <w:spacing w:after="120"/>
        <w:jc w:val="both"/>
        <w:rPr>
          <w:rFonts w:asciiTheme="minorHAnsi" w:hAnsiTheme="minorHAnsi" w:cstheme="minorHAnsi"/>
          <w:lang w:val="sr-Latn-RS"/>
        </w:rPr>
      </w:pPr>
      <w:r w:rsidRPr="00F5183F">
        <w:rPr>
          <w:rFonts w:asciiTheme="minorHAnsi" w:hAnsiTheme="minorHAnsi" w:cstheme="minorHAnsi"/>
          <w:lang w:val="sr-Latn-RS"/>
        </w:rPr>
        <w:t>Dnevni boravak za decu sa smetnjama u razvoju</w:t>
      </w:r>
      <w:r w:rsidR="00210390" w:rsidRPr="00F5183F">
        <w:rPr>
          <w:rFonts w:asciiTheme="minorHAnsi" w:hAnsiTheme="minorHAnsi" w:cstheme="minorHAnsi"/>
          <w:lang w:val="sr-Latn-RS"/>
        </w:rPr>
        <w:t xml:space="preserve"> s</w:t>
      </w:r>
      <w:r w:rsidRPr="00F5183F">
        <w:rPr>
          <w:rFonts w:asciiTheme="minorHAnsi" w:hAnsiTheme="minorHAnsi" w:cstheme="minorHAnsi"/>
          <w:lang w:val="sr-Latn-RS"/>
        </w:rPr>
        <w:t xml:space="preserve">e tokom 2018. godine </w:t>
      </w:r>
      <w:r w:rsidR="00210390" w:rsidRPr="00F5183F">
        <w:rPr>
          <w:rFonts w:asciiTheme="minorHAnsi" w:hAnsiTheme="minorHAnsi" w:cstheme="minorHAnsi"/>
          <w:lang w:val="sr-Latn-RS"/>
        </w:rPr>
        <w:t xml:space="preserve">obezbeđivao samo tokom 3 meseca za </w:t>
      </w:r>
      <w:r w:rsidRPr="00F5183F">
        <w:rPr>
          <w:rFonts w:asciiTheme="minorHAnsi" w:hAnsiTheme="minorHAnsi" w:cstheme="minorHAnsi"/>
          <w:lang w:val="sr-Latn-RS"/>
        </w:rPr>
        <w:t xml:space="preserve">troje dece, 2 devojčice i 1 dečaka, koji žive na gradskom području. Ukupni rashodi su bili skromni, samo 67 hiljada </w:t>
      </w:r>
      <w:r w:rsidR="0036370C" w:rsidRPr="00F5183F">
        <w:rPr>
          <w:rFonts w:asciiTheme="minorHAnsi" w:hAnsiTheme="minorHAnsi" w:cstheme="minorHAnsi"/>
          <w:lang w:val="sr-Latn-RS"/>
        </w:rPr>
        <w:t>RSD</w:t>
      </w:r>
      <w:r w:rsidRPr="00F5183F">
        <w:rPr>
          <w:rFonts w:asciiTheme="minorHAnsi" w:hAnsiTheme="minorHAnsi" w:cstheme="minorHAnsi"/>
          <w:lang w:val="sr-Latn-RS"/>
        </w:rPr>
        <w:t xml:space="preserve">. </w:t>
      </w:r>
      <w:r w:rsidR="00210390" w:rsidRPr="00F5183F">
        <w:rPr>
          <w:rFonts w:asciiTheme="minorHAnsi" w:hAnsiTheme="minorHAnsi" w:cstheme="minorHAnsi"/>
          <w:lang w:val="sr-Latn-RS"/>
        </w:rPr>
        <w:t xml:space="preserve">Lokalna NVO koja pruža uslugu nije posedovala licencu. </w:t>
      </w:r>
      <w:r w:rsidRPr="00F5183F">
        <w:rPr>
          <w:rFonts w:asciiTheme="minorHAnsi" w:hAnsiTheme="minorHAnsi" w:cstheme="minorHAnsi"/>
          <w:lang w:val="sr-Latn-RS"/>
        </w:rPr>
        <w:t xml:space="preserve">Ova </w:t>
      </w:r>
      <w:r w:rsidRPr="00F5183F">
        <w:rPr>
          <w:rFonts w:asciiTheme="minorHAnsi" w:hAnsiTheme="minorHAnsi" w:cstheme="minorHAnsi"/>
          <w:lang w:val="sr-Latn-RS"/>
        </w:rPr>
        <w:lastRenderedPageBreak/>
        <w:t xml:space="preserve">usluga je obezbeđivana i </w:t>
      </w:r>
      <w:r w:rsidR="00210390" w:rsidRPr="00F5183F">
        <w:rPr>
          <w:rFonts w:asciiTheme="minorHAnsi" w:hAnsiTheme="minorHAnsi" w:cstheme="minorHAnsi"/>
          <w:lang w:val="sr-Latn-RS"/>
        </w:rPr>
        <w:t xml:space="preserve">tokom 4 meseca </w:t>
      </w:r>
      <w:r w:rsidRPr="00F5183F">
        <w:rPr>
          <w:rFonts w:asciiTheme="minorHAnsi" w:hAnsiTheme="minorHAnsi" w:cstheme="minorHAnsi"/>
          <w:lang w:val="sr-Latn-RS"/>
        </w:rPr>
        <w:t xml:space="preserve">u 2015. godini, </w:t>
      </w:r>
      <w:r w:rsidR="00210390" w:rsidRPr="00F5183F">
        <w:rPr>
          <w:rFonts w:asciiTheme="minorHAnsi" w:hAnsiTheme="minorHAnsi" w:cstheme="minorHAnsi"/>
          <w:lang w:val="sr-Latn-RS"/>
        </w:rPr>
        <w:t>za</w:t>
      </w:r>
      <w:r w:rsidRPr="00F5183F">
        <w:rPr>
          <w:rFonts w:asciiTheme="minorHAnsi" w:hAnsiTheme="minorHAnsi" w:cstheme="minorHAnsi"/>
          <w:lang w:val="sr-Latn-RS"/>
        </w:rPr>
        <w:t xml:space="preserve"> 4 dece</w:t>
      </w:r>
      <w:r w:rsidR="00210390" w:rsidRPr="00F5183F">
        <w:rPr>
          <w:rFonts w:asciiTheme="minorHAnsi" w:hAnsiTheme="minorHAnsi" w:cstheme="minorHAnsi"/>
          <w:lang w:val="sr-Latn-RS"/>
        </w:rPr>
        <w:t xml:space="preserve">, mahom iz projektnih sredstava. </w:t>
      </w:r>
    </w:p>
    <w:p w14:paraId="2059D72A" w14:textId="5C3D431B" w:rsidR="00FC6821" w:rsidRPr="00F5183F" w:rsidRDefault="006A0A5D" w:rsidP="006A0A5D">
      <w:pPr>
        <w:spacing w:after="240"/>
        <w:jc w:val="both"/>
        <w:rPr>
          <w:rFonts w:asciiTheme="minorHAnsi" w:hAnsiTheme="minorHAnsi" w:cstheme="minorHAnsi"/>
          <w:strike/>
          <w:lang w:val="sr-Latn-RS"/>
        </w:rPr>
      </w:pPr>
      <w:r w:rsidRPr="00F5183F">
        <w:rPr>
          <w:rFonts w:asciiTheme="minorHAnsi" w:hAnsiTheme="minorHAnsi" w:cstheme="minorHAnsi"/>
          <w:lang w:val="sr-Latn-RS"/>
        </w:rPr>
        <w:t xml:space="preserve">Usluga savetovalište se realizovala 3 meseca tokom 2018. godine pružajući podršku za 10 korisnika prosečno mesečno. Žene su činile 70% u ukupnom broju korisnika. Ukupni rashodi su iznosili 300 hiljada </w:t>
      </w:r>
      <w:r w:rsidR="0036370C" w:rsidRPr="00F5183F">
        <w:rPr>
          <w:rFonts w:asciiTheme="minorHAnsi" w:hAnsiTheme="minorHAnsi" w:cstheme="minorHAnsi"/>
          <w:lang w:val="sr-Latn-RS"/>
        </w:rPr>
        <w:t>RSD</w:t>
      </w:r>
      <w:r w:rsidRPr="00F5183F">
        <w:rPr>
          <w:rFonts w:asciiTheme="minorHAnsi" w:hAnsiTheme="minorHAnsi" w:cstheme="minorHAnsi"/>
          <w:lang w:val="sr-Latn-RS"/>
        </w:rPr>
        <w:t xml:space="preserve"> </w:t>
      </w:r>
      <w:r w:rsidR="00840A5B" w:rsidRPr="00F5183F">
        <w:rPr>
          <w:rFonts w:asciiTheme="minorHAnsi" w:hAnsiTheme="minorHAnsi" w:cstheme="minorHAnsi"/>
          <w:lang w:val="sr-Latn-RS"/>
        </w:rPr>
        <w:t xml:space="preserve">i </w:t>
      </w:r>
      <w:r w:rsidRPr="00F5183F">
        <w:rPr>
          <w:rFonts w:asciiTheme="minorHAnsi" w:hAnsiTheme="minorHAnsi" w:cstheme="minorHAnsi"/>
          <w:lang w:val="sr-Latn-RS"/>
        </w:rPr>
        <w:t xml:space="preserve">u potpunosti </w:t>
      </w:r>
      <w:r w:rsidR="00840A5B" w:rsidRPr="00F5183F">
        <w:rPr>
          <w:rFonts w:asciiTheme="minorHAnsi" w:hAnsiTheme="minorHAnsi" w:cstheme="minorHAnsi"/>
          <w:lang w:val="sr-Latn-RS"/>
        </w:rPr>
        <w:t xml:space="preserve">su </w:t>
      </w:r>
      <w:r w:rsidRPr="00F5183F">
        <w:rPr>
          <w:rFonts w:asciiTheme="minorHAnsi" w:hAnsiTheme="minorHAnsi" w:cstheme="minorHAnsi"/>
          <w:lang w:val="sr-Latn-RS"/>
        </w:rPr>
        <w:t>obezbeđen</w:t>
      </w:r>
      <w:r w:rsidR="00840A5B" w:rsidRPr="00F5183F">
        <w:rPr>
          <w:rFonts w:asciiTheme="minorHAnsi" w:hAnsiTheme="minorHAnsi" w:cstheme="minorHAnsi"/>
          <w:lang w:val="sr-Latn-RS"/>
        </w:rPr>
        <w:t>a</w:t>
      </w:r>
      <w:r w:rsidRPr="00F5183F">
        <w:rPr>
          <w:rFonts w:asciiTheme="minorHAnsi" w:hAnsiTheme="minorHAnsi" w:cstheme="minorHAnsi"/>
          <w:lang w:val="sr-Latn-RS"/>
        </w:rPr>
        <w:t xml:space="preserve"> iz republičkih projekata. </w:t>
      </w:r>
    </w:p>
    <w:p w14:paraId="52C7A391" w14:textId="77777777" w:rsidR="00FC6821" w:rsidRPr="00F5183F" w:rsidRDefault="00FC6821" w:rsidP="00FC6821">
      <w:pPr>
        <w:pBdr>
          <w:top w:val="single" w:sz="4" w:space="1" w:color="auto"/>
          <w:left w:val="single" w:sz="4" w:space="4" w:color="auto"/>
          <w:bottom w:val="single" w:sz="4" w:space="1" w:color="auto"/>
          <w:right w:val="single" w:sz="4" w:space="4" w:color="auto"/>
        </w:pBdr>
        <w:rPr>
          <w:rFonts w:asciiTheme="minorHAnsi" w:hAnsiTheme="minorHAnsi"/>
          <w:b/>
          <w:smallCaps/>
          <w:lang w:val="sr-Latn-RS"/>
        </w:rPr>
      </w:pPr>
      <w:r w:rsidRPr="00F5183F">
        <w:rPr>
          <w:rFonts w:asciiTheme="minorHAnsi" w:hAnsiTheme="minorHAnsi"/>
          <w:b/>
          <w:smallCaps/>
          <w:lang w:val="sr-Latn-RS"/>
        </w:rPr>
        <w:t xml:space="preserve">Boks 6. NACRT STRATEGIJE SOCIJALNE ZAŠTITE  </w:t>
      </w:r>
    </w:p>
    <w:p w14:paraId="4FDAC25F" w14:textId="77777777" w:rsidR="00FC6821" w:rsidRPr="00F5183F" w:rsidRDefault="00FC6821" w:rsidP="00FC6821">
      <w:pPr>
        <w:pBdr>
          <w:top w:val="single" w:sz="4" w:space="1" w:color="auto"/>
          <w:left w:val="single" w:sz="4" w:space="4" w:color="auto"/>
          <w:bottom w:val="single" w:sz="4" w:space="1" w:color="auto"/>
          <w:right w:val="single" w:sz="4" w:space="4" w:color="auto"/>
        </w:pBdr>
        <w:jc w:val="both"/>
        <w:rPr>
          <w:rFonts w:asciiTheme="minorHAnsi" w:hAnsiTheme="minorHAnsi"/>
          <w:lang w:val="sr-Latn-RS"/>
        </w:rPr>
      </w:pPr>
    </w:p>
    <w:p w14:paraId="165FA868" w14:textId="77777777" w:rsidR="00FC6821" w:rsidRPr="00F5183F" w:rsidRDefault="00FC6821" w:rsidP="00FC682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Theme="minorHAnsi" w:hAnsiTheme="minorHAnsi"/>
          <w:color w:val="000000"/>
          <w:lang w:val="sr-Latn-RS"/>
        </w:rPr>
      </w:pPr>
      <w:bookmarkStart w:id="0" w:name="_Hlk4578981"/>
      <w:r w:rsidRPr="00F5183F">
        <w:rPr>
          <w:rFonts w:asciiTheme="minorHAnsi" w:hAnsiTheme="minorHAnsi"/>
          <w:color w:val="000000"/>
          <w:lang w:val="sr-Latn-RS"/>
        </w:rPr>
        <w:t xml:space="preserve">Značaj uspostavljanja i daljeg razvoja usluga socijalne zaštite u mandatu JLS jasno je naglašena u </w:t>
      </w:r>
      <w:r w:rsidR="00102390">
        <w:fldChar w:fldCharType="begin"/>
      </w:r>
      <w:r w:rsidR="00102390">
        <w:instrText xml:space="preserve"> HYPERLINK "http://www.zavodsz.gov.rs/media/1820/nacrt-strategije-socijalne-zastite-2019-2025-27032019.docx" \t "_blank" \o "Nacrt Strategije Socijalne Zas</w:instrText>
      </w:r>
      <w:r w:rsidR="00102390">
        <w:instrText xml:space="preserve">tite 2019 2025 27.03.2019" </w:instrText>
      </w:r>
      <w:r w:rsidR="00102390">
        <w:fldChar w:fldCharType="separate"/>
      </w:r>
      <w:r w:rsidRPr="00F5183F">
        <w:rPr>
          <w:rFonts w:asciiTheme="minorHAnsi" w:hAnsiTheme="minorHAnsi"/>
          <w:b/>
          <w:bCs/>
          <w:color w:val="277C85"/>
          <w:spacing w:val="6"/>
          <w:lang w:val="sr-Latn-RS"/>
        </w:rPr>
        <w:t>Nacrtu Strategije socijalne zaštite za period 2019–2025. godine</w:t>
      </w:r>
      <w:r w:rsidR="00102390">
        <w:rPr>
          <w:rFonts w:asciiTheme="minorHAnsi" w:hAnsiTheme="minorHAnsi"/>
          <w:b/>
          <w:bCs/>
          <w:color w:val="277C85"/>
          <w:spacing w:val="6"/>
          <w:lang w:val="sr-Latn-RS"/>
        </w:rPr>
        <w:fldChar w:fldCharType="end"/>
      </w:r>
      <w:r w:rsidRPr="00F5183F">
        <w:rPr>
          <w:rFonts w:asciiTheme="minorHAnsi" w:hAnsiTheme="minorHAnsi"/>
          <w:color w:val="000000"/>
          <w:lang w:val="sr-Latn-RS"/>
        </w:rPr>
        <w:t xml:space="preserve"> pre svega kroz definisanje opšteg cilja i posebnog cilja 2. </w:t>
      </w:r>
    </w:p>
    <w:p w14:paraId="6ECC54DA" w14:textId="77777777" w:rsidR="00FC6821" w:rsidRPr="00F5183F" w:rsidRDefault="00FC6821" w:rsidP="00FC682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Theme="minorHAnsi" w:hAnsiTheme="minorHAnsi"/>
          <w:color w:val="000000"/>
          <w:lang w:val="sr-Latn-RS"/>
        </w:rPr>
      </w:pPr>
      <w:r w:rsidRPr="00F5183F">
        <w:rPr>
          <w:rFonts w:asciiTheme="minorHAnsi" w:hAnsiTheme="minorHAnsi"/>
          <w:color w:val="000000"/>
          <w:lang w:val="sr-Latn-RS"/>
        </w:rPr>
        <w:t xml:space="preserve">“Opšti cilj Strategije socijalne zaštite 2019-2025 je razvijanje integrativne i održive socijalne zaštite </w:t>
      </w:r>
      <w:r w:rsidRPr="00F5183F">
        <w:rPr>
          <w:rFonts w:asciiTheme="minorHAnsi" w:hAnsiTheme="minorHAnsi"/>
          <w:i/>
          <w:iCs/>
          <w:color w:val="000000"/>
          <w:lang w:val="sr-Latn-RS"/>
        </w:rPr>
        <w:t>koja razvija usluge za očuvanje i poboljšanje kvaliteta života i blagostanja ranjivih i marginalizovanih grupa i pojedinaca</w:t>
      </w:r>
      <w:r w:rsidRPr="00F5183F">
        <w:rPr>
          <w:rFonts w:asciiTheme="minorHAnsi" w:hAnsiTheme="minorHAnsi"/>
          <w:color w:val="000000"/>
          <w:lang w:val="sr-Latn-RS"/>
        </w:rPr>
        <w:t>, pruža podršku porodicama u zadovoljavanju životnih potreba, stvara jednake mogućnosti za samostalni život i nezavisnost pojedinaca, podstiče socijalno uključivanje u zajednicu i predupređuje zavisnost od socijalnih službi i na taj način pruža doprinos ekonomskom prosperitetu i održivom razvoju Republike Srbije.</w:t>
      </w:r>
      <w:bookmarkEnd w:id="0"/>
      <w:r w:rsidRPr="00F5183F">
        <w:rPr>
          <w:rFonts w:asciiTheme="minorHAnsi" w:hAnsiTheme="minorHAnsi"/>
          <w:color w:val="000000"/>
          <w:lang w:val="sr-Latn-RS"/>
        </w:rPr>
        <w:t>“</w:t>
      </w:r>
    </w:p>
    <w:p w14:paraId="2FE01C71" w14:textId="77777777" w:rsidR="00FC6821" w:rsidRPr="00F5183F" w:rsidRDefault="00FC6821" w:rsidP="00FC6821">
      <w:pPr>
        <w:pBdr>
          <w:top w:val="single" w:sz="4" w:space="1" w:color="auto"/>
          <w:left w:val="single" w:sz="4" w:space="4" w:color="auto"/>
          <w:bottom w:val="single" w:sz="4" w:space="1" w:color="auto"/>
          <w:right w:val="single" w:sz="4" w:space="4" w:color="auto"/>
        </w:pBdr>
        <w:jc w:val="both"/>
        <w:rPr>
          <w:rFonts w:asciiTheme="minorHAnsi" w:hAnsiTheme="minorHAnsi"/>
          <w:color w:val="333333"/>
          <w:spacing w:val="6"/>
          <w:shd w:val="clear" w:color="auto" w:fill="FFFFFF"/>
          <w:lang w:val="sr-Latn-RS"/>
        </w:rPr>
      </w:pPr>
      <w:r w:rsidRPr="00F5183F">
        <w:rPr>
          <w:rFonts w:asciiTheme="minorHAnsi" w:hAnsiTheme="minorHAnsi"/>
          <w:lang w:val="sr-Latn-RS"/>
        </w:rPr>
        <w:t>U okviru posebnog cilja 2, koji se tiče socijalnog uključivanja, ciljna vrednost 1 se eksplicitno fokusira na lokalne usluge: „</w:t>
      </w:r>
      <w:r w:rsidRPr="00F5183F">
        <w:rPr>
          <w:rFonts w:asciiTheme="minorHAnsi" w:hAnsiTheme="minorHAnsi"/>
          <w:i/>
          <w:iCs/>
          <w:lang w:val="sr-Latn-RS"/>
        </w:rPr>
        <w:t xml:space="preserve">Do kraja 2025. godine za 25% povećati javne rashode za usluge socijalne zaštite u mandatu jedinica lokalne samouprave“, </w:t>
      </w:r>
      <w:r w:rsidRPr="00F5183F">
        <w:rPr>
          <w:rFonts w:asciiTheme="minorHAnsi" w:hAnsiTheme="minorHAnsi"/>
          <w:lang w:val="sr-Latn-RS"/>
        </w:rPr>
        <w:t>a strateški pravac za dostizanje ovog cilja podrazumeva u</w:t>
      </w:r>
      <w:r w:rsidRPr="00F5183F">
        <w:rPr>
          <w:rFonts w:asciiTheme="minorHAnsi" w:hAnsiTheme="minorHAnsi"/>
          <w:i/>
          <w:iCs/>
          <w:lang w:val="sr-Latn-RS"/>
        </w:rPr>
        <w:t>napređivanje dostupnosti i ravnomerniji razvoj kvalitetnih vaninstitucionalnih usluga u zajednici</w:t>
      </w:r>
      <w:r w:rsidRPr="00F5183F">
        <w:rPr>
          <w:rFonts w:asciiTheme="minorHAnsi" w:hAnsiTheme="minorHAnsi"/>
          <w:lang w:val="sr-Latn-RS"/>
        </w:rPr>
        <w:t xml:space="preserve">. </w:t>
      </w:r>
    </w:p>
    <w:p w14:paraId="43AFEE99" w14:textId="77777777" w:rsidR="00FC6821" w:rsidRPr="00F5183F" w:rsidRDefault="00FC6821" w:rsidP="00FC6821">
      <w:pPr>
        <w:pBdr>
          <w:top w:val="single" w:sz="4" w:space="1" w:color="auto"/>
          <w:left w:val="single" w:sz="4" w:space="4" w:color="auto"/>
          <w:bottom w:val="single" w:sz="4" w:space="1" w:color="auto"/>
          <w:right w:val="single" w:sz="4" w:space="4" w:color="auto"/>
        </w:pBdr>
        <w:jc w:val="both"/>
        <w:rPr>
          <w:rFonts w:asciiTheme="minorHAnsi" w:hAnsiTheme="minorHAnsi"/>
          <w:lang w:val="sr-Latn-RS"/>
        </w:rPr>
      </w:pPr>
    </w:p>
    <w:p w14:paraId="4F612B5D" w14:textId="77777777" w:rsidR="00FC6821" w:rsidRPr="00F5183F" w:rsidRDefault="00FC6821" w:rsidP="00FC6821">
      <w:pPr>
        <w:pBdr>
          <w:top w:val="single" w:sz="4" w:space="1" w:color="auto"/>
          <w:left w:val="single" w:sz="4" w:space="4" w:color="auto"/>
          <w:bottom w:val="single" w:sz="4" w:space="1" w:color="auto"/>
          <w:right w:val="single" w:sz="4" w:space="4" w:color="auto"/>
        </w:pBdr>
        <w:spacing w:after="120"/>
        <w:jc w:val="both"/>
        <w:rPr>
          <w:rFonts w:asciiTheme="minorHAnsi" w:hAnsiTheme="minorHAnsi"/>
          <w:color w:val="000000"/>
          <w:lang w:val="sr-Latn-RS"/>
        </w:rPr>
      </w:pPr>
      <w:r w:rsidRPr="00F5183F">
        <w:rPr>
          <w:rFonts w:asciiTheme="minorHAnsi" w:hAnsiTheme="minorHAnsi"/>
          <w:color w:val="000000"/>
          <w:lang w:val="sr-Latn-RS"/>
        </w:rPr>
        <w:t>U kontekstu posebnog cilja 3 koji se odnosi na unapređenje dobrog upravljanja, kao jedan od strateških pravaca predviđen je i „Razvoj lokalnih strategija socijalne zaštite i lokalnih mehanizama za definisanje i praćenje sprovođenja socijalne zaštite“.</w:t>
      </w:r>
    </w:p>
    <w:p w14:paraId="2C510BA3" w14:textId="77777777" w:rsidR="00633801" w:rsidRPr="00F5183F" w:rsidRDefault="00633801" w:rsidP="00633801">
      <w:pPr>
        <w:jc w:val="both"/>
        <w:rPr>
          <w:rFonts w:asciiTheme="minorHAnsi" w:hAnsiTheme="minorHAnsi"/>
          <w:b/>
          <w:iCs/>
          <w:lang w:val="sr-Latn-RS"/>
        </w:rPr>
      </w:pPr>
    </w:p>
    <w:p w14:paraId="627F3F08" w14:textId="5EBA4E0C" w:rsidR="00633801" w:rsidRPr="00F5183F" w:rsidRDefault="00633801" w:rsidP="00633801">
      <w:pPr>
        <w:jc w:val="both"/>
        <w:rPr>
          <w:rFonts w:asciiTheme="minorHAnsi" w:hAnsiTheme="minorHAnsi"/>
          <w:b/>
          <w:iCs/>
          <w:lang w:val="sr-Latn-RS"/>
        </w:rPr>
      </w:pPr>
      <w:r w:rsidRPr="00F5183F">
        <w:rPr>
          <w:rFonts w:asciiTheme="minorHAnsi" w:hAnsiTheme="minorHAnsi"/>
          <w:b/>
          <w:iCs/>
          <w:lang w:val="sr-Latn-RS"/>
        </w:rPr>
        <w:t>Materijalna podrška u nadležnosti lokalne samouprave</w:t>
      </w:r>
    </w:p>
    <w:p w14:paraId="6AE66E02" w14:textId="25172E2D" w:rsidR="009C6002" w:rsidRPr="00F5183F" w:rsidRDefault="009C6002" w:rsidP="00C8228A">
      <w:pPr>
        <w:rPr>
          <w:rFonts w:asciiTheme="minorHAnsi" w:hAnsiTheme="minorHAnsi"/>
          <w:i/>
          <w:u w:val="single"/>
          <w:lang w:val="sr-Latn-RS"/>
        </w:rPr>
      </w:pPr>
    </w:p>
    <w:p w14:paraId="16DFAC94" w14:textId="67E0DFBC" w:rsidR="000F2688" w:rsidRPr="001054FE" w:rsidRDefault="00787330" w:rsidP="000F2688">
      <w:pPr>
        <w:spacing w:after="120" w:line="276" w:lineRule="auto"/>
        <w:jc w:val="both"/>
        <w:rPr>
          <w:rFonts w:asciiTheme="minorHAnsi" w:hAnsiTheme="minorHAnsi"/>
          <w:iCs/>
          <w:color w:val="000000" w:themeColor="text1"/>
          <w:lang w:val="sr-Latn-RS"/>
        </w:rPr>
      </w:pPr>
      <w:r w:rsidRPr="001054FE">
        <w:rPr>
          <w:rFonts w:asciiTheme="minorHAnsi" w:hAnsiTheme="minorHAnsi"/>
          <w:b/>
          <w:bCs/>
          <w:i/>
          <w:lang w:val="sr-Latn-RS"/>
        </w:rPr>
        <w:t>U</w:t>
      </w:r>
      <w:r w:rsidR="00DC7850" w:rsidRPr="001054FE">
        <w:rPr>
          <w:rFonts w:asciiTheme="minorHAnsi" w:hAnsiTheme="minorHAnsi"/>
          <w:b/>
          <w:bCs/>
          <w:i/>
          <w:lang w:val="sr-Latn-RS"/>
        </w:rPr>
        <w:t xml:space="preserve">kupni rashodi za </w:t>
      </w:r>
      <w:r w:rsidR="00DC39A5" w:rsidRPr="001054FE">
        <w:rPr>
          <w:rFonts w:asciiTheme="minorHAnsi" w:hAnsiTheme="minorHAnsi"/>
          <w:b/>
          <w:bCs/>
          <w:i/>
          <w:lang w:val="sr-Latn-RS"/>
        </w:rPr>
        <w:t xml:space="preserve">materijalnu podršku </w:t>
      </w:r>
      <w:r w:rsidR="00876E23" w:rsidRPr="001054FE">
        <w:rPr>
          <w:rFonts w:asciiTheme="minorHAnsi" w:hAnsiTheme="minorHAnsi"/>
          <w:b/>
          <w:bCs/>
          <w:i/>
          <w:lang w:val="sr-Latn-RS"/>
        </w:rPr>
        <w:t xml:space="preserve">u nadležnosti JLS </w:t>
      </w:r>
      <w:r w:rsidR="00CC1B18" w:rsidRPr="001054FE">
        <w:rPr>
          <w:rFonts w:asciiTheme="minorHAnsi" w:hAnsiTheme="minorHAnsi"/>
          <w:b/>
          <w:bCs/>
          <w:i/>
          <w:u w:val="single"/>
          <w:lang w:val="sr-Latn-RS"/>
        </w:rPr>
        <w:t xml:space="preserve"> </w:t>
      </w:r>
      <w:r w:rsidR="00CC1B18" w:rsidRPr="001054FE">
        <w:rPr>
          <w:rFonts w:asciiTheme="minorHAnsi" w:hAnsiTheme="minorHAnsi"/>
          <w:b/>
          <w:bCs/>
          <w:i/>
          <w:lang w:val="sr-Latn-RS"/>
        </w:rPr>
        <w:t>u opštini</w:t>
      </w:r>
      <w:r w:rsidR="00DC7850" w:rsidRPr="001054FE">
        <w:rPr>
          <w:rFonts w:asciiTheme="minorHAnsi" w:hAnsiTheme="minorHAnsi"/>
          <w:b/>
          <w:bCs/>
          <w:i/>
          <w:lang w:val="sr-Latn-RS"/>
        </w:rPr>
        <w:t xml:space="preserve"> Bač </w:t>
      </w:r>
      <w:r w:rsidR="00CC1B18" w:rsidRPr="001054FE">
        <w:rPr>
          <w:rFonts w:asciiTheme="minorHAnsi" w:hAnsiTheme="minorHAnsi"/>
          <w:b/>
          <w:bCs/>
          <w:i/>
          <w:lang w:val="sr-Latn-RS"/>
        </w:rPr>
        <w:t>u 2018. godi</w:t>
      </w:r>
      <w:r w:rsidR="000F1C36" w:rsidRPr="001054FE">
        <w:rPr>
          <w:rFonts w:asciiTheme="minorHAnsi" w:hAnsiTheme="minorHAnsi"/>
          <w:b/>
          <w:bCs/>
          <w:i/>
          <w:lang w:val="sr-Latn-RS"/>
        </w:rPr>
        <w:t>ni iz</w:t>
      </w:r>
      <w:r w:rsidR="00DC7850" w:rsidRPr="001054FE">
        <w:rPr>
          <w:rFonts w:asciiTheme="minorHAnsi" w:hAnsiTheme="minorHAnsi"/>
          <w:b/>
          <w:bCs/>
          <w:i/>
          <w:lang w:val="sr-Latn-RS"/>
        </w:rPr>
        <w:t xml:space="preserve">nosili su približno 45 miliona RSD, </w:t>
      </w:r>
      <w:r w:rsidR="000F1C36" w:rsidRPr="001054FE">
        <w:rPr>
          <w:rFonts w:asciiTheme="minorHAnsi" w:hAnsiTheme="minorHAnsi"/>
          <w:b/>
          <w:bCs/>
          <w:i/>
          <w:lang w:val="sr-Latn-RS"/>
        </w:rPr>
        <w:t xml:space="preserve"> </w:t>
      </w:r>
      <w:r w:rsidR="00424259" w:rsidRPr="001054FE">
        <w:rPr>
          <w:rFonts w:asciiTheme="minorHAnsi" w:hAnsiTheme="minorHAnsi"/>
          <w:b/>
          <w:bCs/>
          <w:i/>
          <w:lang w:val="sr-Latn-RS"/>
        </w:rPr>
        <w:t>3</w:t>
      </w:r>
      <w:r w:rsidR="00FB3AC3" w:rsidRPr="001054FE">
        <w:rPr>
          <w:rFonts w:asciiTheme="minorHAnsi" w:hAnsiTheme="minorHAnsi"/>
          <w:b/>
          <w:bCs/>
          <w:i/>
          <w:lang w:val="sr-Latn-RS"/>
        </w:rPr>
        <w:t>.</w:t>
      </w:r>
      <w:r w:rsidR="00424259" w:rsidRPr="001054FE">
        <w:rPr>
          <w:rFonts w:asciiTheme="minorHAnsi" w:hAnsiTheme="minorHAnsi"/>
          <w:b/>
          <w:bCs/>
          <w:i/>
          <w:lang w:val="sr-Latn-RS"/>
        </w:rPr>
        <w:t>405 RSD po stanovniku. Od ukupnog bužeta izdvojeno je čak 6,1% za ove name</w:t>
      </w:r>
      <w:r w:rsidR="00424259" w:rsidRPr="001054FE">
        <w:rPr>
          <w:rFonts w:asciiTheme="minorHAnsi" w:hAnsiTheme="minorHAnsi"/>
          <w:b/>
          <w:bCs/>
          <w:i/>
          <w:color w:val="000000" w:themeColor="text1"/>
          <w:lang w:val="sr-Latn-RS"/>
        </w:rPr>
        <w:t>ne.</w:t>
      </w:r>
      <w:r w:rsidRPr="001054FE">
        <w:rPr>
          <w:rStyle w:val="FootnoteReference"/>
          <w:rFonts w:asciiTheme="minorHAnsi" w:hAnsiTheme="minorHAnsi"/>
          <w:iCs/>
          <w:color w:val="000000" w:themeColor="text1"/>
          <w:lang w:val="sr-Latn-RS"/>
        </w:rPr>
        <w:footnoteReference w:id="19"/>
      </w:r>
      <w:r w:rsidR="00424259" w:rsidRPr="001054FE">
        <w:rPr>
          <w:rFonts w:asciiTheme="minorHAnsi" w:hAnsiTheme="minorHAnsi"/>
          <w:b/>
          <w:bCs/>
          <w:i/>
          <w:color w:val="000000" w:themeColor="text1"/>
          <w:lang w:val="sr-Latn-RS"/>
        </w:rPr>
        <w:t xml:space="preserve"> </w:t>
      </w:r>
      <w:r w:rsidR="000F09B4" w:rsidRPr="001054FE">
        <w:rPr>
          <w:rFonts w:asciiTheme="minorHAnsi" w:hAnsiTheme="minorHAnsi"/>
          <w:iCs/>
          <w:color w:val="000000" w:themeColor="text1"/>
          <w:lang w:val="sr-Latn-RS"/>
        </w:rPr>
        <w:t>U Srbiji je neponderisan prosek izdvajanja JLS za ove namene iznosio svega 2,</w:t>
      </w:r>
      <w:r w:rsidR="000F2688" w:rsidRPr="001054FE">
        <w:rPr>
          <w:rFonts w:asciiTheme="minorHAnsi" w:hAnsiTheme="minorHAnsi"/>
          <w:iCs/>
          <w:color w:val="000000" w:themeColor="text1"/>
          <w:lang w:val="sr-Latn-RS"/>
        </w:rPr>
        <w:t>3</w:t>
      </w:r>
      <w:r w:rsidR="000F09B4" w:rsidRPr="001054FE">
        <w:rPr>
          <w:rFonts w:asciiTheme="minorHAnsi" w:hAnsiTheme="minorHAnsi"/>
          <w:iCs/>
          <w:color w:val="000000" w:themeColor="text1"/>
          <w:lang w:val="sr-Latn-RS"/>
        </w:rPr>
        <w:t>%, a o</w:t>
      </w:r>
      <w:r w:rsidR="0068316A" w:rsidRPr="001054FE">
        <w:rPr>
          <w:rFonts w:asciiTheme="minorHAnsi" w:hAnsiTheme="minorHAnsi"/>
          <w:iCs/>
          <w:color w:val="000000" w:themeColor="text1"/>
          <w:lang w:val="sr-Latn-RS"/>
        </w:rPr>
        <w:t>vako visok</w:t>
      </w:r>
      <w:r w:rsidR="00FB3AC3" w:rsidRPr="001054FE">
        <w:rPr>
          <w:rFonts w:asciiTheme="minorHAnsi" w:hAnsiTheme="minorHAnsi"/>
          <w:iCs/>
          <w:color w:val="000000" w:themeColor="text1"/>
          <w:lang w:val="sr-Latn-RS"/>
        </w:rPr>
        <w:t>i</w:t>
      </w:r>
      <w:r w:rsidR="0068316A" w:rsidRPr="001054FE">
        <w:rPr>
          <w:rFonts w:asciiTheme="minorHAnsi" w:hAnsiTheme="minorHAnsi"/>
          <w:iCs/>
          <w:color w:val="000000" w:themeColor="text1"/>
          <w:lang w:val="sr-Latn-RS"/>
        </w:rPr>
        <w:t xml:space="preserve"> rashod</w:t>
      </w:r>
      <w:r w:rsidR="00FB3AC3" w:rsidRPr="001054FE">
        <w:rPr>
          <w:rFonts w:asciiTheme="minorHAnsi" w:hAnsiTheme="minorHAnsi"/>
          <w:iCs/>
          <w:color w:val="000000" w:themeColor="text1"/>
          <w:lang w:val="sr-Latn-RS"/>
        </w:rPr>
        <w:t>i</w:t>
      </w:r>
      <w:r w:rsidR="0068316A" w:rsidRPr="001054FE">
        <w:rPr>
          <w:rFonts w:asciiTheme="minorHAnsi" w:hAnsiTheme="minorHAnsi"/>
          <w:iCs/>
          <w:color w:val="000000" w:themeColor="text1"/>
          <w:lang w:val="sr-Latn-RS"/>
        </w:rPr>
        <w:t xml:space="preserve"> </w:t>
      </w:r>
      <w:r w:rsidR="000F09B4" w:rsidRPr="001054FE">
        <w:rPr>
          <w:rFonts w:asciiTheme="minorHAnsi" w:hAnsiTheme="minorHAnsi"/>
          <w:iCs/>
          <w:color w:val="000000" w:themeColor="text1"/>
          <w:lang w:val="sr-Latn-RS"/>
        </w:rPr>
        <w:t xml:space="preserve">u relativnom iznosu kao u opštini Bač </w:t>
      </w:r>
      <w:r w:rsidR="0068316A" w:rsidRPr="001054FE">
        <w:rPr>
          <w:rFonts w:asciiTheme="minorHAnsi" w:hAnsiTheme="minorHAnsi"/>
          <w:iCs/>
          <w:color w:val="000000" w:themeColor="text1"/>
          <w:lang w:val="sr-Latn-RS"/>
        </w:rPr>
        <w:t>zabeleženi su u svega</w:t>
      </w:r>
      <w:r w:rsidR="00FB3AC3" w:rsidRPr="001054FE">
        <w:rPr>
          <w:rFonts w:asciiTheme="minorHAnsi" w:hAnsiTheme="minorHAnsi"/>
          <w:iCs/>
          <w:color w:val="000000" w:themeColor="text1"/>
          <w:lang w:val="sr-Latn-RS"/>
        </w:rPr>
        <w:t xml:space="preserve"> nekoliko manjih i nerazvijenih opština. </w:t>
      </w:r>
      <w:r w:rsidR="0068316A" w:rsidRPr="001054FE">
        <w:rPr>
          <w:rFonts w:asciiTheme="minorHAnsi" w:hAnsiTheme="minorHAnsi"/>
          <w:iCs/>
          <w:color w:val="000000" w:themeColor="text1"/>
          <w:lang w:val="sr-Latn-RS"/>
        </w:rPr>
        <w:t xml:space="preserve"> </w:t>
      </w:r>
      <w:r w:rsidR="000F2688" w:rsidRPr="001054FE">
        <w:rPr>
          <w:rFonts w:asciiTheme="minorHAnsi" w:hAnsiTheme="minorHAnsi"/>
          <w:iCs/>
          <w:lang w:val="sr-Latn-RS"/>
        </w:rPr>
        <w:t xml:space="preserve">Kada se vrednosti poređaju od najniže ka najvišoj, rang opštine Bač je u samom vrhu lestvice, prema ova dva indikatora (142 i 143, respektivno). </w:t>
      </w:r>
      <w:r w:rsidR="000F2688" w:rsidRPr="001054FE">
        <w:rPr>
          <w:rFonts w:asciiTheme="minorHAnsi" w:hAnsiTheme="minorHAnsi"/>
          <w:iCs/>
          <w:color w:val="000000" w:themeColor="text1"/>
          <w:lang w:val="sr-Latn-RS"/>
        </w:rPr>
        <w:t>Veći deo davanja je u novcu (57,3%), nešto manje od neponderisanog proseka JLS u Srbiji  (66,</w:t>
      </w:r>
      <w:r w:rsidR="00715B30" w:rsidRPr="001054FE">
        <w:rPr>
          <w:rFonts w:asciiTheme="minorHAnsi" w:hAnsiTheme="minorHAnsi"/>
          <w:iCs/>
          <w:color w:val="000000" w:themeColor="text1"/>
          <w:lang w:val="sr-Latn-RS"/>
        </w:rPr>
        <w:t>2</w:t>
      </w:r>
      <w:r w:rsidR="000F2688" w:rsidRPr="001054FE">
        <w:rPr>
          <w:rFonts w:asciiTheme="minorHAnsi" w:hAnsiTheme="minorHAnsi"/>
          <w:iCs/>
          <w:color w:val="000000" w:themeColor="text1"/>
          <w:lang w:val="sr-Latn-RS"/>
        </w:rPr>
        <w:t xml:space="preserve">%). </w:t>
      </w:r>
    </w:p>
    <w:p w14:paraId="4E599CEA" w14:textId="6A48BA79" w:rsidR="00103345" w:rsidRDefault="000F2688" w:rsidP="00103345">
      <w:pPr>
        <w:jc w:val="both"/>
        <w:rPr>
          <w:rFonts w:asciiTheme="minorHAnsi" w:hAnsiTheme="minorHAnsi"/>
          <w:iCs/>
          <w:lang w:val="sr-Latn-RS"/>
        </w:rPr>
      </w:pPr>
      <w:r w:rsidRPr="00F5183F">
        <w:rPr>
          <w:rFonts w:asciiTheme="minorHAnsi" w:hAnsiTheme="minorHAnsi"/>
          <w:b/>
          <w:bCs/>
          <w:i/>
          <w:iCs/>
          <w:lang w:val="sr-Latn-RS"/>
        </w:rPr>
        <w:t>Svega približno 17% od ukupne materijalne podrške  u opštini Bač dodeljivano je uz proveru materijalnog stanja 2018. godine (ukupno 7,8 miliona RSD).</w:t>
      </w:r>
      <w:r w:rsidRPr="00F5183F">
        <w:rPr>
          <w:rFonts w:asciiTheme="minorHAnsi" w:hAnsiTheme="minorHAnsi"/>
          <w:iCs/>
          <w:lang w:val="sr-Latn-RS"/>
        </w:rPr>
        <w:t xml:space="preserve"> </w:t>
      </w:r>
      <w:r w:rsidR="00E20FB4" w:rsidRPr="00F5183F">
        <w:rPr>
          <w:rFonts w:asciiTheme="minorHAnsi" w:hAnsiTheme="minorHAnsi"/>
          <w:iCs/>
          <w:lang w:val="sr-Latn-RS"/>
        </w:rPr>
        <w:t xml:space="preserve">U Srbiji je neponderisan prosek  </w:t>
      </w:r>
      <w:r w:rsidR="00E20FB4" w:rsidRPr="00F5183F">
        <w:rPr>
          <w:rFonts w:asciiTheme="minorHAnsi" w:hAnsiTheme="minorHAnsi"/>
          <w:iCs/>
          <w:lang w:val="sr-Latn-RS"/>
        </w:rPr>
        <w:lastRenderedPageBreak/>
        <w:t xml:space="preserve">udela rashoda za siromašne bio značajno veći, iznosio je gotovo 60%. </w:t>
      </w:r>
      <w:r w:rsidRPr="00F5183F">
        <w:rPr>
          <w:rFonts w:asciiTheme="minorHAnsi" w:hAnsiTheme="minorHAnsi"/>
          <w:iCs/>
          <w:lang w:val="sr-Latn-RS"/>
        </w:rPr>
        <w:t xml:space="preserve">U ukupnoj materijalnoj podršci </w:t>
      </w:r>
      <w:r w:rsidR="00F51EEE" w:rsidRPr="00F5183F">
        <w:rPr>
          <w:rFonts w:asciiTheme="minorHAnsi" w:hAnsiTheme="minorHAnsi"/>
          <w:iCs/>
          <w:lang w:val="sr-Latn-RS"/>
        </w:rPr>
        <w:t xml:space="preserve">u opštini Bač </w:t>
      </w:r>
      <w:r w:rsidRPr="00F5183F">
        <w:rPr>
          <w:rFonts w:asciiTheme="minorHAnsi" w:hAnsiTheme="minorHAnsi"/>
          <w:iCs/>
          <w:lang w:val="sr-Latn-RS"/>
        </w:rPr>
        <w:t>najveći izdaci su za kategorijska davanja srednjoškolskoj deci, u vidu stipendija na osnovu uspeha (19,4 miliona) i za nakandu troškova prevoza (17,3 miliona RSD) (Tabela 7).</w:t>
      </w:r>
      <w:r w:rsidR="00F51EEE" w:rsidRPr="00F5183F">
        <w:rPr>
          <w:rFonts w:asciiTheme="minorHAnsi" w:hAnsiTheme="minorHAnsi"/>
          <w:iCs/>
          <w:lang w:val="sr-Latn-RS"/>
        </w:rPr>
        <w:t xml:space="preserve"> </w:t>
      </w:r>
      <w:r w:rsidR="00E20FB4" w:rsidRPr="00F5183F">
        <w:rPr>
          <w:rFonts w:asciiTheme="minorHAnsi" w:hAnsiTheme="minorHAnsi"/>
          <w:iCs/>
          <w:lang w:val="sr-Latn-RS"/>
        </w:rPr>
        <w:t>Očito je da svi ovi rashodi nisu knjiženi kao rashodi za socijalnu zaštitu prema funkcionalnoj klasifikaciji, iako su dodeljivani na osnovu odluka o socijalnoj zaštiti i podršci porodicama sa decom.</w:t>
      </w:r>
      <w:r w:rsidR="00E20FB4" w:rsidRPr="00F5183F">
        <w:rPr>
          <w:rStyle w:val="FootnoteReference"/>
          <w:rFonts w:asciiTheme="minorHAnsi" w:hAnsiTheme="minorHAnsi"/>
          <w:iCs/>
          <w:lang w:val="sr-Latn-RS"/>
        </w:rPr>
        <w:footnoteReference w:id="20"/>
      </w:r>
    </w:p>
    <w:p w14:paraId="0326918C" w14:textId="77777777" w:rsidR="003450A7" w:rsidRPr="005351B8" w:rsidRDefault="003450A7" w:rsidP="003450A7">
      <w:pPr>
        <w:jc w:val="both"/>
        <w:rPr>
          <w:rFonts w:asciiTheme="minorHAnsi" w:hAnsiTheme="minorHAnsi"/>
          <w:iCs/>
          <w:lang w:val="sr-Latn-RS"/>
        </w:rPr>
      </w:pPr>
    </w:p>
    <w:p w14:paraId="7B98E8F2" w14:textId="66F133B5" w:rsidR="00F86F92" w:rsidRPr="00F5183F" w:rsidRDefault="000F2688" w:rsidP="0059440A">
      <w:pPr>
        <w:spacing w:line="276" w:lineRule="auto"/>
        <w:jc w:val="both"/>
        <w:rPr>
          <w:rFonts w:asciiTheme="minorHAnsi" w:hAnsiTheme="minorHAnsi"/>
          <w:iCs/>
          <w:lang w:val="sr-Latn-RS"/>
        </w:rPr>
      </w:pPr>
      <w:r w:rsidRPr="00F5183F">
        <w:rPr>
          <w:rFonts w:asciiTheme="minorHAnsi" w:hAnsiTheme="minorHAnsi" w:cstheme="minorHAnsi"/>
          <w:bCs/>
          <w:lang w:val="sr-Latn-RS"/>
        </w:rPr>
        <w:t>T</w:t>
      </w:r>
      <w:r w:rsidR="0059440A" w:rsidRPr="00F5183F">
        <w:rPr>
          <w:rFonts w:asciiTheme="minorHAnsi" w:hAnsiTheme="minorHAnsi" w:cstheme="minorHAnsi"/>
          <w:bCs/>
          <w:lang w:val="sr-Latn-RS"/>
        </w:rPr>
        <w:t>abela 7. Rashodi za materijalnu podršku u nadležnosti  JLS, opština Bač, 2018.</w:t>
      </w:r>
    </w:p>
    <w:tbl>
      <w:tblPr>
        <w:tblW w:w="5327" w:type="pct"/>
        <w:tblBorders>
          <w:top w:val="single" w:sz="4" w:space="0" w:color="auto"/>
          <w:bottom w:val="single" w:sz="4" w:space="0" w:color="auto"/>
        </w:tblBorders>
        <w:tblLook w:val="04A0" w:firstRow="1" w:lastRow="0" w:firstColumn="1" w:lastColumn="0" w:noHBand="0" w:noVBand="1"/>
      </w:tblPr>
      <w:tblGrid>
        <w:gridCol w:w="613"/>
        <w:gridCol w:w="5770"/>
        <w:gridCol w:w="612"/>
        <w:gridCol w:w="2365"/>
        <w:gridCol w:w="612"/>
      </w:tblGrid>
      <w:tr w:rsidR="00774130" w:rsidRPr="00F5183F" w14:paraId="47A33B21" w14:textId="77777777" w:rsidTr="005B15AB">
        <w:trPr>
          <w:gridAfter w:val="1"/>
          <w:wAfter w:w="307" w:type="pct"/>
          <w:trHeight w:val="300"/>
        </w:trPr>
        <w:tc>
          <w:tcPr>
            <w:tcW w:w="3200" w:type="pct"/>
            <w:gridSpan w:val="2"/>
            <w:shd w:val="clear" w:color="auto" w:fill="auto"/>
            <w:noWrap/>
            <w:vAlign w:val="bottom"/>
          </w:tcPr>
          <w:p w14:paraId="50354F1D" w14:textId="15A06D81" w:rsidR="00774130" w:rsidRPr="00F5183F" w:rsidRDefault="005B15AB" w:rsidP="00774130">
            <w:pPr>
              <w:rPr>
                <w:lang w:val="sr-Latn-RS"/>
              </w:rPr>
            </w:pPr>
            <w:r w:rsidRPr="00F5183F">
              <w:rPr>
                <w:rFonts w:ascii="Calibri" w:hAnsi="Calibri"/>
                <w:color w:val="000000"/>
                <w:lang w:val="sr-Latn-RS"/>
              </w:rPr>
              <w:t>Novčana davanja</w:t>
            </w:r>
          </w:p>
        </w:tc>
        <w:tc>
          <w:tcPr>
            <w:tcW w:w="1493" w:type="pct"/>
            <w:gridSpan w:val="2"/>
            <w:shd w:val="clear" w:color="auto" w:fill="auto"/>
            <w:noWrap/>
            <w:vAlign w:val="bottom"/>
          </w:tcPr>
          <w:p w14:paraId="2828FDF4" w14:textId="2C623847" w:rsidR="00774130" w:rsidRPr="00F5183F" w:rsidRDefault="00774130" w:rsidP="00774130">
            <w:pPr>
              <w:jc w:val="right"/>
              <w:rPr>
                <w:rFonts w:ascii="Calibri" w:hAnsi="Calibri"/>
                <w:color w:val="000000"/>
                <w:lang w:val="sr-Latn-RS"/>
              </w:rPr>
            </w:pPr>
            <w:r w:rsidRPr="00F5183F">
              <w:rPr>
                <w:rFonts w:ascii="Calibri" w:hAnsi="Calibri"/>
                <w:color w:val="000000"/>
                <w:lang w:val="sr-Latn-RS"/>
              </w:rPr>
              <w:t xml:space="preserve">    25.880.135 </w:t>
            </w:r>
          </w:p>
        </w:tc>
      </w:tr>
      <w:tr w:rsidR="00774130" w:rsidRPr="00F5183F" w14:paraId="3815231B" w14:textId="77777777" w:rsidTr="005B15AB">
        <w:trPr>
          <w:gridBefore w:val="1"/>
          <w:wBefore w:w="307" w:type="pct"/>
          <w:trHeight w:val="300"/>
        </w:trPr>
        <w:tc>
          <w:tcPr>
            <w:tcW w:w="3200" w:type="pct"/>
            <w:gridSpan w:val="2"/>
            <w:shd w:val="clear" w:color="auto" w:fill="auto"/>
            <w:noWrap/>
            <w:vAlign w:val="bottom"/>
          </w:tcPr>
          <w:p w14:paraId="5C203163" w14:textId="30007DBB" w:rsidR="00774130" w:rsidRPr="00F5183F" w:rsidRDefault="00774130" w:rsidP="00774130">
            <w:pPr>
              <w:rPr>
                <w:i/>
                <w:iCs/>
                <w:lang w:val="sr-Latn-RS"/>
              </w:rPr>
            </w:pPr>
            <w:r w:rsidRPr="00F5183F">
              <w:rPr>
                <w:rFonts w:ascii="Calibri" w:hAnsi="Calibri"/>
                <w:i/>
                <w:iCs/>
                <w:color w:val="000000"/>
                <w:lang w:val="sr-Latn-RS"/>
              </w:rPr>
              <w:t>Jednokratna novčano davanje za novorođenčad</w:t>
            </w:r>
          </w:p>
        </w:tc>
        <w:tc>
          <w:tcPr>
            <w:tcW w:w="1493" w:type="pct"/>
            <w:gridSpan w:val="2"/>
            <w:shd w:val="clear" w:color="auto" w:fill="auto"/>
            <w:noWrap/>
            <w:vAlign w:val="bottom"/>
          </w:tcPr>
          <w:p w14:paraId="5A1378FB" w14:textId="5FFAC310" w:rsidR="00774130" w:rsidRPr="00F5183F" w:rsidRDefault="00774130" w:rsidP="00774130">
            <w:pPr>
              <w:jc w:val="right"/>
              <w:rPr>
                <w:rFonts w:ascii="Calibri" w:hAnsi="Calibri"/>
                <w:i/>
                <w:iCs/>
                <w:color w:val="000000"/>
                <w:lang w:val="sr-Latn-RS"/>
              </w:rPr>
            </w:pPr>
            <w:r w:rsidRPr="00F5183F">
              <w:rPr>
                <w:rFonts w:ascii="Calibri" w:hAnsi="Calibri"/>
                <w:i/>
                <w:iCs/>
                <w:color w:val="000000"/>
                <w:lang w:val="sr-Latn-RS"/>
              </w:rPr>
              <w:t xml:space="preserve">            372.000 </w:t>
            </w:r>
          </w:p>
        </w:tc>
      </w:tr>
      <w:tr w:rsidR="00774130" w:rsidRPr="00F5183F" w14:paraId="01C32496" w14:textId="77777777" w:rsidTr="005B15AB">
        <w:trPr>
          <w:gridBefore w:val="1"/>
          <w:wBefore w:w="307" w:type="pct"/>
          <w:trHeight w:val="300"/>
        </w:trPr>
        <w:tc>
          <w:tcPr>
            <w:tcW w:w="3200" w:type="pct"/>
            <w:gridSpan w:val="2"/>
            <w:shd w:val="clear" w:color="auto" w:fill="auto"/>
            <w:noWrap/>
            <w:vAlign w:val="bottom"/>
          </w:tcPr>
          <w:p w14:paraId="2E57EF02" w14:textId="7F85C604" w:rsidR="00774130" w:rsidRPr="00F5183F" w:rsidRDefault="00774130" w:rsidP="00774130">
            <w:pPr>
              <w:rPr>
                <w:i/>
                <w:iCs/>
                <w:lang w:val="sr-Latn-RS"/>
              </w:rPr>
            </w:pPr>
            <w:r w:rsidRPr="00F5183F">
              <w:rPr>
                <w:rFonts w:ascii="Calibri" w:hAnsi="Calibri"/>
                <w:i/>
                <w:iCs/>
                <w:color w:val="000000"/>
                <w:lang w:val="sr-Latn-RS"/>
              </w:rPr>
              <w:t>Jednokratna novčana pomoć (JNP)</w:t>
            </w:r>
          </w:p>
        </w:tc>
        <w:tc>
          <w:tcPr>
            <w:tcW w:w="1493" w:type="pct"/>
            <w:gridSpan w:val="2"/>
            <w:shd w:val="clear" w:color="auto" w:fill="auto"/>
            <w:noWrap/>
            <w:vAlign w:val="bottom"/>
          </w:tcPr>
          <w:p w14:paraId="7E78F7B0" w14:textId="74E63B5A" w:rsidR="00774130" w:rsidRPr="00F5183F" w:rsidRDefault="00774130" w:rsidP="00774130">
            <w:pPr>
              <w:jc w:val="right"/>
              <w:rPr>
                <w:rFonts w:ascii="Calibri" w:hAnsi="Calibri"/>
                <w:i/>
                <w:iCs/>
                <w:color w:val="000000"/>
                <w:lang w:val="sr-Latn-RS"/>
              </w:rPr>
            </w:pPr>
            <w:r w:rsidRPr="00F5183F">
              <w:rPr>
                <w:rFonts w:ascii="Calibri" w:hAnsi="Calibri"/>
                <w:i/>
                <w:iCs/>
                <w:color w:val="000000"/>
                <w:lang w:val="sr-Latn-RS"/>
              </w:rPr>
              <w:t xml:space="preserve">       2.529.000 </w:t>
            </w:r>
          </w:p>
        </w:tc>
      </w:tr>
      <w:tr w:rsidR="00774130" w:rsidRPr="00F5183F" w14:paraId="68B2DDBE" w14:textId="77777777" w:rsidTr="005B15AB">
        <w:trPr>
          <w:gridBefore w:val="1"/>
          <w:wBefore w:w="307" w:type="pct"/>
          <w:trHeight w:val="300"/>
        </w:trPr>
        <w:tc>
          <w:tcPr>
            <w:tcW w:w="3200" w:type="pct"/>
            <w:gridSpan w:val="2"/>
            <w:shd w:val="clear" w:color="auto" w:fill="auto"/>
            <w:noWrap/>
            <w:vAlign w:val="bottom"/>
          </w:tcPr>
          <w:p w14:paraId="365F3588" w14:textId="241D3286" w:rsidR="00774130" w:rsidRPr="00F5183F" w:rsidRDefault="00774130" w:rsidP="00774130">
            <w:pPr>
              <w:rPr>
                <w:i/>
                <w:iCs/>
                <w:lang w:val="sr-Latn-RS"/>
              </w:rPr>
            </w:pPr>
            <w:r w:rsidRPr="00F5183F">
              <w:rPr>
                <w:rFonts w:ascii="Calibri" w:hAnsi="Calibri"/>
                <w:i/>
                <w:iCs/>
                <w:color w:val="000000"/>
                <w:lang w:val="sr-Latn-RS"/>
              </w:rPr>
              <w:t>JNP penzionerima sa minimalnim penzijama</w:t>
            </w:r>
          </w:p>
        </w:tc>
        <w:tc>
          <w:tcPr>
            <w:tcW w:w="1493" w:type="pct"/>
            <w:gridSpan w:val="2"/>
            <w:shd w:val="clear" w:color="auto" w:fill="auto"/>
            <w:noWrap/>
            <w:vAlign w:val="bottom"/>
          </w:tcPr>
          <w:p w14:paraId="7D956E3C" w14:textId="238DC161" w:rsidR="00774130" w:rsidRPr="00F5183F" w:rsidRDefault="00774130" w:rsidP="00774130">
            <w:pPr>
              <w:jc w:val="right"/>
              <w:rPr>
                <w:rFonts w:ascii="Calibri" w:hAnsi="Calibri"/>
                <w:i/>
                <w:iCs/>
                <w:color w:val="000000"/>
                <w:lang w:val="sr-Latn-RS"/>
              </w:rPr>
            </w:pPr>
            <w:r w:rsidRPr="00F5183F">
              <w:rPr>
                <w:rFonts w:ascii="Calibri" w:hAnsi="Calibri"/>
                <w:i/>
                <w:iCs/>
                <w:color w:val="000000"/>
                <w:lang w:val="sr-Latn-RS"/>
              </w:rPr>
              <w:t xml:space="preserve">       1.854.000 </w:t>
            </w:r>
          </w:p>
        </w:tc>
      </w:tr>
      <w:tr w:rsidR="00774130" w:rsidRPr="00F5183F" w14:paraId="554FC729" w14:textId="77777777" w:rsidTr="005B15AB">
        <w:trPr>
          <w:gridBefore w:val="1"/>
          <w:wBefore w:w="307" w:type="pct"/>
          <w:trHeight w:val="300"/>
        </w:trPr>
        <w:tc>
          <w:tcPr>
            <w:tcW w:w="3200" w:type="pct"/>
            <w:gridSpan w:val="2"/>
            <w:shd w:val="clear" w:color="auto" w:fill="auto"/>
            <w:noWrap/>
            <w:vAlign w:val="bottom"/>
          </w:tcPr>
          <w:p w14:paraId="30F1BC3C" w14:textId="1A08FC9F" w:rsidR="00774130" w:rsidRPr="00F5183F" w:rsidRDefault="00774130" w:rsidP="00774130">
            <w:pPr>
              <w:rPr>
                <w:i/>
                <w:iCs/>
                <w:lang w:val="sr-Latn-RS"/>
              </w:rPr>
            </w:pPr>
            <w:r w:rsidRPr="00F5183F">
              <w:rPr>
                <w:rFonts w:ascii="Calibri" w:hAnsi="Calibri"/>
                <w:i/>
                <w:iCs/>
                <w:color w:val="000000"/>
                <w:lang w:val="sr-Latn-RS"/>
              </w:rPr>
              <w:t>Novčana davanja licu prema kome je izvršeno nasilje u porodici</w:t>
            </w:r>
          </w:p>
        </w:tc>
        <w:tc>
          <w:tcPr>
            <w:tcW w:w="1493" w:type="pct"/>
            <w:gridSpan w:val="2"/>
            <w:shd w:val="clear" w:color="auto" w:fill="auto"/>
            <w:noWrap/>
            <w:vAlign w:val="bottom"/>
          </w:tcPr>
          <w:p w14:paraId="44CF0717" w14:textId="55848AE7" w:rsidR="00774130" w:rsidRPr="00F5183F" w:rsidRDefault="00774130" w:rsidP="00774130">
            <w:pPr>
              <w:jc w:val="right"/>
              <w:rPr>
                <w:rFonts w:ascii="Calibri" w:hAnsi="Calibri"/>
                <w:i/>
                <w:iCs/>
                <w:color w:val="000000"/>
                <w:lang w:val="sr-Latn-RS"/>
              </w:rPr>
            </w:pPr>
            <w:r w:rsidRPr="00F5183F">
              <w:rPr>
                <w:rFonts w:ascii="Calibri" w:hAnsi="Calibri"/>
                <w:i/>
                <w:iCs/>
                <w:color w:val="000000"/>
                <w:lang w:val="sr-Latn-RS"/>
              </w:rPr>
              <w:t xml:space="preserve">            100.000 </w:t>
            </w:r>
          </w:p>
        </w:tc>
      </w:tr>
      <w:tr w:rsidR="00774130" w:rsidRPr="00F5183F" w14:paraId="55467442" w14:textId="77777777" w:rsidTr="005B15AB">
        <w:trPr>
          <w:gridBefore w:val="1"/>
          <w:wBefore w:w="307" w:type="pct"/>
          <w:trHeight w:val="300"/>
        </w:trPr>
        <w:tc>
          <w:tcPr>
            <w:tcW w:w="3200" w:type="pct"/>
            <w:gridSpan w:val="2"/>
            <w:shd w:val="clear" w:color="auto" w:fill="auto"/>
            <w:noWrap/>
            <w:vAlign w:val="bottom"/>
          </w:tcPr>
          <w:p w14:paraId="70984682" w14:textId="7DA0D8BF" w:rsidR="00774130" w:rsidRPr="00F5183F" w:rsidRDefault="00774130" w:rsidP="00774130">
            <w:pPr>
              <w:rPr>
                <w:i/>
                <w:iCs/>
                <w:lang w:val="sr-Latn-RS"/>
              </w:rPr>
            </w:pPr>
            <w:r w:rsidRPr="00F5183F">
              <w:rPr>
                <w:rFonts w:ascii="Calibri" w:hAnsi="Calibri"/>
                <w:i/>
                <w:iCs/>
                <w:color w:val="000000"/>
                <w:lang w:val="sr-Latn-RS"/>
              </w:rPr>
              <w:t>Novčana pomoć porodicama zbog teške bolesti</w:t>
            </w:r>
          </w:p>
        </w:tc>
        <w:tc>
          <w:tcPr>
            <w:tcW w:w="1493" w:type="pct"/>
            <w:gridSpan w:val="2"/>
            <w:shd w:val="clear" w:color="auto" w:fill="auto"/>
            <w:noWrap/>
            <w:vAlign w:val="bottom"/>
          </w:tcPr>
          <w:p w14:paraId="1CD5E888" w14:textId="48EBD0A2" w:rsidR="00774130" w:rsidRPr="00F5183F" w:rsidRDefault="00774130" w:rsidP="00774130">
            <w:pPr>
              <w:jc w:val="right"/>
              <w:rPr>
                <w:rFonts w:ascii="Calibri" w:hAnsi="Calibri"/>
                <w:i/>
                <w:iCs/>
                <w:color w:val="000000"/>
                <w:lang w:val="sr-Latn-RS"/>
              </w:rPr>
            </w:pPr>
            <w:r w:rsidRPr="00F5183F">
              <w:rPr>
                <w:rFonts w:ascii="Calibri" w:hAnsi="Calibri"/>
                <w:i/>
                <w:iCs/>
                <w:color w:val="000000"/>
                <w:lang w:val="sr-Latn-RS"/>
              </w:rPr>
              <w:t xml:space="preserve">            100.000 </w:t>
            </w:r>
          </w:p>
        </w:tc>
      </w:tr>
      <w:tr w:rsidR="00774130" w:rsidRPr="00F5183F" w14:paraId="24655B48" w14:textId="77777777" w:rsidTr="005B15AB">
        <w:trPr>
          <w:gridBefore w:val="1"/>
          <w:wBefore w:w="307" w:type="pct"/>
          <w:trHeight w:val="300"/>
        </w:trPr>
        <w:tc>
          <w:tcPr>
            <w:tcW w:w="3200" w:type="pct"/>
            <w:gridSpan w:val="2"/>
            <w:shd w:val="clear" w:color="auto" w:fill="auto"/>
            <w:noWrap/>
            <w:vAlign w:val="bottom"/>
          </w:tcPr>
          <w:p w14:paraId="0AE6F36D" w14:textId="31B7AC5D" w:rsidR="00774130" w:rsidRPr="00F5183F" w:rsidRDefault="00774130" w:rsidP="00774130">
            <w:pPr>
              <w:rPr>
                <w:i/>
                <w:iCs/>
                <w:lang w:val="sr-Latn-RS"/>
              </w:rPr>
            </w:pPr>
            <w:r w:rsidRPr="00F5183F">
              <w:rPr>
                <w:rFonts w:ascii="Calibri" w:hAnsi="Calibri"/>
                <w:i/>
                <w:iCs/>
                <w:color w:val="000000"/>
                <w:lang w:val="sr-Latn-RS"/>
              </w:rPr>
              <w:t xml:space="preserve">Radno angažovanje </w:t>
            </w:r>
          </w:p>
        </w:tc>
        <w:tc>
          <w:tcPr>
            <w:tcW w:w="1493" w:type="pct"/>
            <w:gridSpan w:val="2"/>
            <w:shd w:val="clear" w:color="auto" w:fill="auto"/>
            <w:noWrap/>
            <w:vAlign w:val="bottom"/>
          </w:tcPr>
          <w:p w14:paraId="59156234" w14:textId="3955BF59" w:rsidR="00774130" w:rsidRPr="00F5183F" w:rsidRDefault="00774130" w:rsidP="00774130">
            <w:pPr>
              <w:jc w:val="right"/>
              <w:rPr>
                <w:rFonts w:ascii="Calibri" w:hAnsi="Calibri"/>
                <w:i/>
                <w:iCs/>
                <w:color w:val="000000"/>
                <w:lang w:val="sr-Latn-RS"/>
              </w:rPr>
            </w:pPr>
            <w:r w:rsidRPr="00F5183F">
              <w:rPr>
                <w:rFonts w:ascii="Calibri" w:hAnsi="Calibri"/>
                <w:i/>
                <w:iCs/>
                <w:color w:val="000000"/>
                <w:lang w:val="sr-Latn-RS"/>
              </w:rPr>
              <w:t xml:space="preserve">       1.233.135 </w:t>
            </w:r>
          </w:p>
        </w:tc>
      </w:tr>
      <w:tr w:rsidR="00774130" w:rsidRPr="00F5183F" w14:paraId="05DDEA83" w14:textId="77777777" w:rsidTr="005B15AB">
        <w:trPr>
          <w:gridBefore w:val="1"/>
          <w:wBefore w:w="307" w:type="pct"/>
          <w:trHeight w:val="300"/>
        </w:trPr>
        <w:tc>
          <w:tcPr>
            <w:tcW w:w="3200" w:type="pct"/>
            <w:gridSpan w:val="2"/>
            <w:shd w:val="clear" w:color="auto" w:fill="auto"/>
            <w:noWrap/>
            <w:vAlign w:val="bottom"/>
          </w:tcPr>
          <w:p w14:paraId="5F6B8C55" w14:textId="65077B5F" w:rsidR="00774130" w:rsidRPr="00F5183F" w:rsidRDefault="00774130" w:rsidP="00774130">
            <w:pPr>
              <w:rPr>
                <w:i/>
                <w:iCs/>
                <w:lang w:val="sr-Latn-RS"/>
              </w:rPr>
            </w:pPr>
            <w:r w:rsidRPr="00F5183F">
              <w:rPr>
                <w:rFonts w:ascii="Calibri" w:hAnsi="Calibri"/>
                <w:i/>
                <w:iCs/>
                <w:color w:val="000000"/>
                <w:lang w:val="sr-Latn-RS"/>
              </w:rPr>
              <w:t xml:space="preserve">Stipendije učenicima i studentima po osnovu uspeha </w:t>
            </w:r>
          </w:p>
        </w:tc>
        <w:tc>
          <w:tcPr>
            <w:tcW w:w="1493" w:type="pct"/>
            <w:gridSpan w:val="2"/>
            <w:shd w:val="clear" w:color="auto" w:fill="auto"/>
            <w:noWrap/>
            <w:vAlign w:val="bottom"/>
          </w:tcPr>
          <w:p w14:paraId="3BF3750B" w14:textId="0BC22F3F" w:rsidR="00774130" w:rsidRPr="00F5183F" w:rsidRDefault="00774130" w:rsidP="00774130">
            <w:pPr>
              <w:jc w:val="right"/>
              <w:rPr>
                <w:rFonts w:ascii="Calibri" w:hAnsi="Calibri"/>
                <w:i/>
                <w:iCs/>
                <w:color w:val="000000"/>
                <w:lang w:val="sr-Latn-RS"/>
              </w:rPr>
            </w:pPr>
            <w:r w:rsidRPr="00F5183F">
              <w:rPr>
                <w:rFonts w:ascii="Calibri" w:hAnsi="Calibri"/>
                <w:i/>
                <w:iCs/>
                <w:color w:val="000000"/>
                <w:lang w:val="sr-Latn-RS"/>
              </w:rPr>
              <w:t xml:space="preserve">    19.368.000 </w:t>
            </w:r>
          </w:p>
        </w:tc>
      </w:tr>
      <w:tr w:rsidR="00774130" w:rsidRPr="00F5183F" w14:paraId="45B7135B" w14:textId="77777777" w:rsidTr="005B15AB">
        <w:trPr>
          <w:gridBefore w:val="1"/>
          <w:wBefore w:w="307" w:type="pct"/>
          <w:trHeight w:val="300"/>
        </w:trPr>
        <w:tc>
          <w:tcPr>
            <w:tcW w:w="3200" w:type="pct"/>
            <w:gridSpan w:val="2"/>
            <w:shd w:val="clear" w:color="auto" w:fill="auto"/>
            <w:noWrap/>
            <w:vAlign w:val="bottom"/>
          </w:tcPr>
          <w:p w14:paraId="2D7A49F4" w14:textId="1B89E9D4" w:rsidR="00774130" w:rsidRPr="00F5183F" w:rsidRDefault="00774130" w:rsidP="00774130">
            <w:pPr>
              <w:rPr>
                <w:i/>
                <w:iCs/>
                <w:lang w:val="sr-Latn-RS"/>
              </w:rPr>
            </w:pPr>
            <w:r w:rsidRPr="00F5183F">
              <w:rPr>
                <w:rFonts w:ascii="Calibri" w:hAnsi="Calibri"/>
                <w:i/>
                <w:iCs/>
                <w:color w:val="000000"/>
                <w:lang w:val="sr-Latn-RS"/>
              </w:rPr>
              <w:t>Stipendiranje/srednja škola, fakultet korisnicima NSP</w:t>
            </w:r>
          </w:p>
        </w:tc>
        <w:tc>
          <w:tcPr>
            <w:tcW w:w="1493" w:type="pct"/>
            <w:gridSpan w:val="2"/>
            <w:shd w:val="clear" w:color="auto" w:fill="auto"/>
            <w:noWrap/>
            <w:vAlign w:val="bottom"/>
          </w:tcPr>
          <w:p w14:paraId="4773EF7B" w14:textId="2FFB7503" w:rsidR="00774130" w:rsidRPr="00F5183F" w:rsidRDefault="00774130" w:rsidP="00774130">
            <w:pPr>
              <w:jc w:val="right"/>
              <w:rPr>
                <w:rFonts w:ascii="Calibri" w:hAnsi="Calibri"/>
                <w:i/>
                <w:iCs/>
                <w:color w:val="000000"/>
                <w:lang w:val="sr-Latn-RS"/>
              </w:rPr>
            </w:pPr>
            <w:r w:rsidRPr="00F5183F">
              <w:rPr>
                <w:rFonts w:ascii="Calibri" w:hAnsi="Calibri"/>
                <w:i/>
                <w:iCs/>
                <w:color w:val="000000"/>
                <w:lang w:val="sr-Latn-RS"/>
              </w:rPr>
              <w:t xml:space="preserve">            324.000 </w:t>
            </w:r>
          </w:p>
        </w:tc>
      </w:tr>
      <w:tr w:rsidR="00774130" w:rsidRPr="00F5183F" w14:paraId="28568314" w14:textId="77777777" w:rsidTr="005B15AB">
        <w:trPr>
          <w:gridAfter w:val="1"/>
          <w:wAfter w:w="307" w:type="pct"/>
          <w:trHeight w:val="300"/>
        </w:trPr>
        <w:tc>
          <w:tcPr>
            <w:tcW w:w="3200" w:type="pct"/>
            <w:gridSpan w:val="2"/>
            <w:shd w:val="clear" w:color="auto" w:fill="auto"/>
            <w:noWrap/>
            <w:vAlign w:val="bottom"/>
            <w:hideMark/>
          </w:tcPr>
          <w:p w14:paraId="303B3FFE" w14:textId="1ABE9633" w:rsidR="00774130" w:rsidRPr="00F5183F" w:rsidRDefault="005B15AB" w:rsidP="00774130">
            <w:pPr>
              <w:rPr>
                <w:rFonts w:asciiTheme="minorHAnsi" w:hAnsiTheme="minorHAnsi"/>
                <w:lang w:val="sr-Latn-RS"/>
              </w:rPr>
            </w:pPr>
            <w:r w:rsidRPr="00F5183F">
              <w:rPr>
                <w:rFonts w:asciiTheme="minorHAnsi" w:hAnsiTheme="minorHAnsi"/>
                <w:lang w:val="sr-Latn-RS"/>
              </w:rPr>
              <w:t>Davanja u naturi</w:t>
            </w:r>
          </w:p>
        </w:tc>
        <w:tc>
          <w:tcPr>
            <w:tcW w:w="1493" w:type="pct"/>
            <w:gridSpan w:val="2"/>
            <w:shd w:val="clear" w:color="auto" w:fill="auto"/>
            <w:noWrap/>
            <w:vAlign w:val="bottom"/>
            <w:hideMark/>
          </w:tcPr>
          <w:p w14:paraId="6C12CD2F" w14:textId="77777777" w:rsidR="00774130" w:rsidRPr="00F5183F" w:rsidRDefault="00774130" w:rsidP="00774130">
            <w:pPr>
              <w:jc w:val="right"/>
              <w:rPr>
                <w:rFonts w:asciiTheme="minorHAnsi" w:hAnsiTheme="minorHAnsi"/>
                <w:color w:val="000000"/>
                <w:lang w:val="sr-Latn-RS"/>
              </w:rPr>
            </w:pPr>
            <w:r w:rsidRPr="00F5183F">
              <w:rPr>
                <w:rFonts w:asciiTheme="minorHAnsi" w:hAnsiTheme="minorHAnsi"/>
                <w:color w:val="000000"/>
                <w:lang w:val="sr-Latn-RS"/>
              </w:rPr>
              <w:t xml:space="preserve">                19.282.000 </w:t>
            </w:r>
          </w:p>
        </w:tc>
      </w:tr>
      <w:tr w:rsidR="00774130" w:rsidRPr="00F5183F" w14:paraId="4B3BAFA2" w14:textId="77777777" w:rsidTr="005B15AB">
        <w:trPr>
          <w:gridBefore w:val="1"/>
          <w:wBefore w:w="307" w:type="pct"/>
          <w:trHeight w:val="300"/>
        </w:trPr>
        <w:tc>
          <w:tcPr>
            <w:tcW w:w="3200" w:type="pct"/>
            <w:gridSpan w:val="2"/>
            <w:shd w:val="clear" w:color="auto" w:fill="auto"/>
            <w:noWrap/>
            <w:vAlign w:val="bottom"/>
            <w:hideMark/>
          </w:tcPr>
          <w:p w14:paraId="19EF6B9D" w14:textId="77777777" w:rsidR="00774130" w:rsidRPr="00F5183F" w:rsidRDefault="00774130" w:rsidP="00774130">
            <w:pPr>
              <w:ind w:firstLineChars="100" w:firstLine="240"/>
              <w:rPr>
                <w:rFonts w:asciiTheme="minorHAnsi" w:hAnsiTheme="minorHAnsi"/>
                <w:i/>
                <w:iCs/>
                <w:color w:val="000000"/>
                <w:lang w:val="sr-Latn-RS"/>
              </w:rPr>
            </w:pPr>
            <w:r w:rsidRPr="00F5183F">
              <w:rPr>
                <w:rFonts w:asciiTheme="minorHAnsi" w:hAnsiTheme="minorHAnsi"/>
                <w:i/>
                <w:iCs/>
                <w:color w:val="000000"/>
                <w:lang w:val="sr-Latn-RS"/>
              </w:rPr>
              <w:t>Ogrevno drvo</w:t>
            </w:r>
          </w:p>
        </w:tc>
        <w:tc>
          <w:tcPr>
            <w:tcW w:w="1493" w:type="pct"/>
            <w:gridSpan w:val="2"/>
            <w:shd w:val="clear" w:color="auto" w:fill="auto"/>
            <w:noWrap/>
            <w:vAlign w:val="bottom"/>
            <w:hideMark/>
          </w:tcPr>
          <w:p w14:paraId="1100153E" w14:textId="77777777" w:rsidR="00774130" w:rsidRPr="00F5183F" w:rsidRDefault="00774130" w:rsidP="00774130">
            <w:pPr>
              <w:jc w:val="right"/>
              <w:rPr>
                <w:rFonts w:asciiTheme="minorHAnsi" w:hAnsiTheme="minorHAnsi"/>
                <w:i/>
                <w:iCs/>
                <w:color w:val="000000"/>
                <w:lang w:val="sr-Latn-RS"/>
              </w:rPr>
            </w:pPr>
            <w:r w:rsidRPr="00F5183F">
              <w:rPr>
                <w:rFonts w:asciiTheme="minorHAnsi" w:hAnsiTheme="minorHAnsi"/>
                <w:i/>
                <w:iCs/>
                <w:color w:val="000000"/>
                <w:lang w:val="sr-Latn-RS"/>
              </w:rPr>
              <w:t xml:space="preserve">                   1.312.000 </w:t>
            </w:r>
          </w:p>
        </w:tc>
      </w:tr>
      <w:tr w:rsidR="00774130" w:rsidRPr="00F5183F" w14:paraId="4BBCE39D" w14:textId="77777777" w:rsidTr="005B15AB">
        <w:trPr>
          <w:gridBefore w:val="1"/>
          <w:wBefore w:w="307" w:type="pct"/>
          <w:trHeight w:val="300"/>
        </w:trPr>
        <w:tc>
          <w:tcPr>
            <w:tcW w:w="3200" w:type="pct"/>
            <w:gridSpan w:val="2"/>
            <w:shd w:val="clear" w:color="auto" w:fill="auto"/>
            <w:noWrap/>
            <w:vAlign w:val="bottom"/>
            <w:hideMark/>
          </w:tcPr>
          <w:p w14:paraId="4BCDB7F6" w14:textId="77777777" w:rsidR="00774130" w:rsidRPr="00F5183F" w:rsidRDefault="00774130" w:rsidP="00774130">
            <w:pPr>
              <w:ind w:firstLineChars="100" w:firstLine="240"/>
              <w:rPr>
                <w:rFonts w:asciiTheme="minorHAnsi" w:hAnsiTheme="minorHAnsi"/>
                <w:i/>
                <w:iCs/>
                <w:color w:val="000000"/>
                <w:lang w:val="sr-Latn-RS"/>
              </w:rPr>
            </w:pPr>
            <w:r w:rsidRPr="00F5183F">
              <w:rPr>
                <w:rFonts w:asciiTheme="minorHAnsi" w:hAnsiTheme="minorHAnsi"/>
                <w:i/>
                <w:iCs/>
                <w:color w:val="000000"/>
                <w:lang w:val="sr-Latn-RS"/>
              </w:rPr>
              <w:t>Regresiranje troškova boravka u PU</w:t>
            </w:r>
          </w:p>
        </w:tc>
        <w:tc>
          <w:tcPr>
            <w:tcW w:w="1493" w:type="pct"/>
            <w:gridSpan w:val="2"/>
            <w:shd w:val="clear" w:color="auto" w:fill="auto"/>
            <w:noWrap/>
            <w:vAlign w:val="bottom"/>
            <w:hideMark/>
          </w:tcPr>
          <w:p w14:paraId="2E17379A" w14:textId="77777777" w:rsidR="00774130" w:rsidRPr="00F5183F" w:rsidRDefault="00774130" w:rsidP="00774130">
            <w:pPr>
              <w:jc w:val="right"/>
              <w:rPr>
                <w:rFonts w:asciiTheme="minorHAnsi" w:hAnsiTheme="minorHAnsi"/>
                <w:i/>
                <w:iCs/>
                <w:color w:val="000000"/>
                <w:lang w:val="sr-Latn-RS"/>
              </w:rPr>
            </w:pPr>
            <w:r w:rsidRPr="00F5183F">
              <w:rPr>
                <w:rFonts w:asciiTheme="minorHAnsi" w:hAnsiTheme="minorHAnsi"/>
                <w:i/>
                <w:iCs/>
                <w:color w:val="000000"/>
                <w:lang w:val="sr-Latn-RS"/>
              </w:rPr>
              <w:t xml:space="preserve">                       108.000 </w:t>
            </w:r>
          </w:p>
        </w:tc>
      </w:tr>
      <w:tr w:rsidR="00774130" w:rsidRPr="00F5183F" w14:paraId="4CD43189" w14:textId="77777777" w:rsidTr="005B15AB">
        <w:trPr>
          <w:gridBefore w:val="1"/>
          <w:wBefore w:w="307" w:type="pct"/>
          <w:trHeight w:val="300"/>
        </w:trPr>
        <w:tc>
          <w:tcPr>
            <w:tcW w:w="3200" w:type="pct"/>
            <w:gridSpan w:val="2"/>
            <w:shd w:val="clear" w:color="auto" w:fill="auto"/>
            <w:noWrap/>
            <w:vAlign w:val="bottom"/>
            <w:hideMark/>
          </w:tcPr>
          <w:p w14:paraId="2874E19E" w14:textId="77777777" w:rsidR="00774130" w:rsidRPr="00F5183F" w:rsidRDefault="00774130" w:rsidP="00774130">
            <w:pPr>
              <w:ind w:firstLineChars="100" w:firstLine="240"/>
              <w:rPr>
                <w:rFonts w:asciiTheme="minorHAnsi" w:hAnsiTheme="minorHAnsi"/>
                <w:i/>
                <w:iCs/>
                <w:color w:val="000000"/>
                <w:lang w:val="sr-Latn-RS"/>
              </w:rPr>
            </w:pPr>
            <w:r w:rsidRPr="00F5183F">
              <w:rPr>
                <w:rFonts w:asciiTheme="minorHAnsi" w:hAnsiTheme="minorHAnsi"/>
                <w:i/>
                <w:iCs/>
                <w:color w:val="000000"/>
                <w:lang w:val="sr-Latn-RS"/>
              </w:rPr>
              <w:t>Troškovi prevoza dece sa posebnim potrebama</w:t>
            </w:r>
          </w:p>
        </w:tc>
        <w:tc>
          <w:tcPr>
            <w:tcW w:w="1493" w:type="pct"/>
            <w:gridSpan w:val="2"/>
            <w:shd w:val="clear" w:color="auto" w:fill="auto"/>
            <w:noWrap/>
            <w:vAlign w:val="bottom"/>
            <w:hideMark/>
          </w:tcPr>
          <w:p w14:paraId="27002D3C" w14:textId="77777777" w:rsidR="00774130" w:rsidRPr="00F5183F" w:rsidRDefault="00774130" w:rsidP="00774130">
            <w:pPr>
              <w:jc w:val="right"/>
              <w:rPr>
                <w:rFonts w:asciiTheme="minorHAnsi" w:hAnsiTheme="minorHAnsi"/>
                <w:i/>
                <w:iCs/>
                <w:color w:val="000000"/>
                <w:lang w:val="sr-Latn-RS"/>
              </w:rPr>
            </w:pPr>
            <w:r w:rsidRPr="00F5183F">
              <w:rPr>
                <w:rFonts w:asciiTheme="minorHAnsi" w:hAnsiTheme="minorHAnsi"/>
                <w:i/>
                <w:iCs/>
                <w:color w:val="000000"/>
                <w:lang w:val="sr-Latn-RS"/>
              </w:rPr>
              <w:t xml:space="preserve">                          45.000 </w:t>
            </w:r>
          </w:p>
        </w:tc>
      </w:tr>
      <w:tr w:rsidR="00774130" w:rsidRPr="00F5183F" w14:paraId="7E3E4937" w14:textId="77777777" w:rsidTr="005B15AB">
        <w:trPr>
          <w:gridBefore w:val="1"/>
          <w:wBefore w:w="307" w:type="pct"/>
          <w:trHeight w:val="300"/>
        </w:trPr>
        <w:tc>
          <w:tcPr>
            <w:tcW w:w="3200" w:type="pct"/>
            <w:gridSpan w:val="2"/>
            <w:shd w:val="clear" w:color="auto" w:fill="auto"/>
            <w:noWrap/>
            <w:vAlign w:val="bottom"/>
            <w:hideMark/>
          </w:tcPr>
          <w:p w14:paraId="037D2D57" w14:textId="77777777" w:rsidR="00774130" w:rsidRPr="00F5183F" w:rsidRDefault="00774130" w:rsidP="00774130">
            <w:pPr>
              <w:ind w:firstLineChars="100" w:firstLine="240"/>
              <w:rPr>
                <w:rFonts w:asciiTheme="minorHAnsi" w:hAnsiTheme="minorHAnsi"/>
                <w:i/>
                <w:iCs/>
                <w:color w:val="000000"/>
                <w:lang w:val="sr-Latn-RS"/>
              </w:rPr>
            </w:pPr>
            <w:r w:rsidRPr="00F5183F">
              <w:rPr>
                <w:rFonts w:asciiTheme="minorHAnsi" w:hAnsiTheme="minorHAnsi"/>
                <w:i/>
                <w:iCs/>
                <w:color w:val="000000"/>
                <w:lang w:val="sr-Latn-RS"/>
              </w:rPr>
              <w:t xml:space="preserve">Troškovi prevoza srednjoškolske dece </w:t>
            </w:r>
          </w:p>
        </w:tc>
        <w:tc>
          <w:tcPr>
            <w:tcW w:w="1493" w:type="pct"/>
            <w:gridSpan w:val="2"/>
            <w:shd w:val="clear" w:color="auto" w:fill="auto"/>
            <w:noWrap/>
            <w:vAlign w:val="bottom"/>
            <w:hideMark/>
          </w:tcPr>
          <w:p w14:paraId="74410A8A" w14:textId="6EE00942" w:rsidR="00774130" w:rsidRPr="00F5183F" w:rsidRDefault="000F2688" w:rsidP="000F2688">
            <w:pPr>
              <w:jc w:val="right"/>
              <w:rPr>
                <w:rFonts w:ascii="Calibri" w:hAnsi="Calibri"/>
                <w:i/>
                <w:iCs/>
                <w:color w:val="000000"/>
                <w:lang w:val="sr-Latn-RS"/>
              </w:rPr>
            </w:pPr>
            <w:r w:rsidRPr="00F5183F">
              <w:rPr>
                <w:rFonts w:ascii="Calibri" w:hAnsi="Calibri"/>
                <w:i/>
                <w:iCs/>
                <w:color w:val="000000"/>
                <w:lang w:val="sr-Latn-RS"/>
              </w:rPr>
              <w:t xml:space="preserve">             17.253.000 </w:t>
            </w:r>
            <w:r w:rsidR="00774130" w:rsidRPr="00F5183F">
              <w:rPr>
                <w:rFonts w:asciiTheme="minorHAnsi" w:hAnsiTheme="minorHAnsi"/>
                <w:i/>
                <w:iCs/>
                <w:color w:val="000000"/>
                <w:lang w:val="sr-Latn-RS"/>
              </w:rPr>
              <w:t xml:space="preserve">                 </w:t>
            </w:r>
          </w:p>
        </w:tc>
      </w:tr>
      <w:tr w:rsidR="00774130" w:rsidRPr="00F5183F" w14:paraId="01BB19E4" w14:textId="77777777" w:rsidTr="005B15AB">
        <w:trPr>
          <w:gridBefore w:val="1"/>
          <w:wBefore w:w="307" w:type="pct"/>
          <w:trHeight w:val="300"/>
        </w:trPr>
        <w:tc>
          <w:tcPr>
            <w:tcW w:w="3200" w:type="pct"/>
            <w:gridSpan w:val="2"/>
            <w:shd w:val="clear" w:color="auto" w:fill="auto"/>
            <w:noWrap/>
            <w:vAlign w:val="bottom"/>
            <w:hideMark/>
          </w:tcPr>
          <w:p w14:paraId="368BB133" w14:textId="77777777" w:rsidR="00774130" w:rsidRPr="00F5183F" w:rsidRDefault="00774130" w:rsidP="00774130">
            <w:pPr>
              <w:ind w:firstLineChars="100" w:firstLine="240"/>
              <w:rPr>
                <w:rFonts w:asciiTheme="minorHAnsi" w:hAnsiTheme="minorHAnsi"/>
                <w:i/>
                <w:iCs/>
                <w:color w:val="000000"/>
                <w:lang w:val="sr-Latn-RS"/>
              </w:rPr>
            </w:pPr>
            <w:r w:rsidRPr="00F5183F">
              <w:rPr>
                <w:rFonts w:asciiTheme="minorHAnsi" w:hAnsiTheme="minorHAnsi"/>
                <w:i/>
                <w:iCs/>
                <w:color w:val="000000"/>
                <w:lang w:val="sr-Latn-RS"/>
              </w:rPr>
              <w:t>Troškovi sahrane</w:t>
            </w:r>
          </w:p>
        </w:tc>
        <w:tc>
          <w:tcPr>
            <w:tcW w:w="1493" w:type="pct"/>
            <w:gridSpan w:val="2"/>
            <w:shd w:val="clear" w:color="auto" w:fill="auto"/>
            <w:noWrap/>
            <w:vAlign w:val="bottom"/>
            <w:hideMark/>
          </w:tcPr>
          <w:p w14:paraId="2819D2DC" w14:textId="77777777" w:rsidR="00774130" w:rsidRPr="00F5183F" w:rsidRDefault="00774130" w:rsidP="00774130">
            <w:pPr>
              <w:jc w:val="right"/>
              <w:rPr>
                <w:rFonts w:asciiTheme="minorHAnsi" w:hAnsiTheme="minorHAnsi"/>
                <w:i/>
                <w:iCs/>
                <w:color w:val="000000"/>
                <w:lang w:val="sr-Latn-RS"/>
              </w:rPr>
            </w:pPr>
            <w:r w:rsidRPr="00F5183F">
              <w:rPr>
                <w:rFonts w:asciiTheme="minorHAnsi" w:hAnsiTheme="minorHAnsi"/>
                <w:i/>
                <w:iCs/>
                <w:color w:val="000000"/>
                <w:lang w:val="sr-Latn-RS"/>
              </w:rPr>
              <w:t xml:space="preserve">                       564.000 </w:t>
            </w:r>
          </w:p>
        </w:tc>
      </w:tr>
    </w:tbl>
    <w:p w14:paraId="3F154D16" w14:textId="77777777" w:rsidR="00B720E3" w:rsidRPr="00F5183F" w:rsidRDefault="00B720E3" w:rsidP="00B720E3">
      <w:pPr>
        <w:spacing w:line="276" w:lineRule="auto"/>
        <w:jc w:val="both"/>
        <w:rPr>
          <w:rStyle w:val="Hyperlink"/>
          <w:rFonts w:asciiTheme="minorHAnsi" w:hAnsiTheme="minorHAnsi"/>
          <w:iCs/>
          <w:lang w:val="sr-Latn-RS"/>
        </w:rPr>
      </w:pPr>
      <w:r w:rsidRPr="00F5183F">
        <w:rPr>
          <w:rFonts w:asciiTheme="minorHAnsi" w:hAnsiTheme="minorHAnsi"/>
          <w:sz w:val="20"/>
          <w:szCs w:val="20"/>
          <w:lang w:val="sr-Latn-RS"/>
        </w:rPr>
        <w:t xml:space="preserve">Izvor:  </w:t>
      </w:r>
      <w:r w:rsidR="00102390">
        <w:fldChar w:fldCharType="begin"/>
      </w:r>
      <w:r w:rsidR="00102390">
        <w:instrText xml:space="preserve"> HYPERLINK "http://socijalnoukljucivanje.gov.rs/wp-content/uploads/2020/09/Mapiranje_usluga_socijalne_zastite_i_materijalne_podrske_u_nadleznosti_JLS_u_RS.pdf" </w:instrText>
      </w:r>
      <w:r w:rsidR="00102390">
        <w:fldChar w:fldCharType="separate"/>
      </w:r>
      <w:r w:rsidRPr="00F5183F">
        <w:rPr>
          <w:rStyle w:val="Hyperlink"/>
          <w:rFonts w:asciiTheme="minorHAnsi" w:hAnsiTheme="minorHAnsi"/>
          <w:i/>
          <w:sz w:val="20"/>
          <w:szCs w:val="20"/>
          <w:lang w:val="sr-Latn-RS"/>
        </w:rPr>
        <w:t>Mapiranje usluga socijalne zaštite i materijalne podrške u nadležnosti JLS u Republici Srbiji</w:t>
      </w:r>
      <w:r w:rsidR="00102390">
        <w:rPr>
          <w:rStyle w:val="Hyperlink"/>
          <w:rFonts w:asciiTheme="minorHAnsi" w:hAnsiTheme="minorHAnsi"/>
          <w:i/>
          <w:sz w:val="20"/>
          <w:szCs w:val="20"/>
          <w:lang w:val="sr-Latn-RS"/>
        </w:rPr>
        <w:fldChar w:fldCharType="end"/>
      </w:r>
      <w:r w:rsidRPr="00F5183F">
        <w:rPr>
          <w:rStyle w:val="Hyperlink"/>
          <w:rFonts w:asciiTheme="minorHAnsi" w:hAnsiTheme="minorHAnsi"/>
          <w:i/>
          <w:sz w:val="20"/>
          <w:szCs w:val="20"/>
          <w:lang w:val="sr-Latn-RS"/>
        </w:rPr>
        <w:t xml:space="preserve"> </w:t>
      </w:r>
      <w:r w:rsidRPr="00F5183F">
        <w:rPr>
          <w:rStyle w:val="Hyperlink"/>
          <w:rFonts w:asciiTheme="minorHAnsi" w:hAnsiTheme="minorHAnsi"/>
          <w:sz w:val="20"/>
          <w:szCs w:val="20"/>
          <w:lang w:val="sr-Latn-RS"/>
        </w:rPr>
        <w:t xml:space="preserve"> </w:t>
      </w:r>
    </w:p>
    <w:p w14:paraId="3D1E04E4" w14:textId="77777777" w:rsidR="00BA3F5E" w:rsidRPr="00F5183F" w:rsidRDefault="00BA3F5E">
      <w:pPr>
        <w:rPr>
          <w:rFonts w:ascii="Cambria" w:hAnsi="Cambria"/>
          <w:b/>
          <w:bCs/>
          <w:sz w:val="22"/>
          <w:szCs w:val="22"/>
          <w:lang w:val="sr-Latn-RS"/>
        </w:rPr>
      </w:pPr>
    </w:p>
    <w:p w14:paraId="7F9E4BC7" w14:textId="05937A31" w:rsidR="00D8615D" w:rsidRPr="00F5183F" w:rsidRDefault="00D8615D" w:rsidP="00D8615D">
      <w:pPr>
        <w:pBdr>
          <w:top w:val="single" w:sz="4" w:space="1" w:color="auto"/>
          <w:left w:val="single" w:sz="4" w:space="4" w:color="auto"/>
          <w:bottom w:val="single" w:sz="4" w:space="1" w:color="auto"/>
          <w:right w:val="single" w:sz="4" w:space="4" w:color="auto"/>
        </w:pBdr>
        <w:rPr>
          <w:rFonts w:asciiTheme="minorHAnsi" w:hAnsiTheme="minorHAnsi"/>
          <w:b/>
          <w:smallCaps/>
          <w:lang w:val="sr-Latn-RS"/>
        </w:rPr>
      </w:pPr>
      <w:r w:rsidRPr="00F5183F">
        <w:rPr>
          <w:rFonts w:asciiTheme="minorHAnsi" w:hAnsiTheme="minorHAnsi"/>
          <w:b/>
          <w:smallCaps/>
          <w:lang w:val="sr-Latn-RS"/>
        </w:rPr>
        <w:t xml:space="preserve">Boks </w:t>
      </w:r>
      <w:r w:rsidR="0066364B" w:rsidRPr="00F5183F">
        <w:rPr>
          <w:rFonts w:asciiTheme="minorHAnsi" w:hAnsiTheme="minorHAnsi"/>
          <w:b/>
          <w:smallCaps/>
          <w:lang w:val="sr-Latn-RS"/>
        </w:rPr>
        <w:t>7</w:t>
      </w:r>
      <w:r w:rsidRPr="00F5183F">
        <w:rPr>
          <w:rFonts w:asciiTheme="minorHAnsi" w:hAnsiTheme="minorHAnsi"/>
          <w:b/>
          <w:smallCaps/>
          <w:lang w:val="sr-Latn-RS"/>
        </w:rPr>
        <w:t xml:space="preserve">. </w:t>
      </w:r>
      <w:r w:rsidR="00785160" w:rsidRPr="00F5183F">
        <w:rPr>
          <w:rFonts w:asciiTheme="minorHAnsi" w:hAnsiTheme="minorHAnsi"/>
          <w:b/>
          <w:smallCaps/>
          <w:lang w:val="sr-Latn-RS"/>
        </w:rPr>
        <w:t xml:space="preserve">VELIČINA PROGRAMA I OBUHVAT </w:t>
      </w:r>
    </w:p>
    <w:p w14:paraId="5C455281" w14:textId="6604F57E" w:rsidR="00D8615D" w:rsidRPr="00F5183F" w:rsidRDefault="00D8615D" w:rsidP="00D8615D">
      <w:pPr>
        <w:pBdr>
          <w:top w:val="single" w:sz="4" w:space="1" w:color="auto"/>
          <w:left w:val="single" w:sz="4" w:space="4" w:color="auto"/>
          <w:bottom w:val="single" w:sz="4" w:space="1" w:color="auto"/>
          <w:right w:val="single" w:sz="4" w:space="4" w:color="auto"/>
        </w:pBdr>
        <w:spacing w:after="120"/>
        <w:jc w:val="both"/>
        <w:rPr>
          <w:rFonts w:asciiTheme="minorHAnsi" w:hAnsiTheme="minorHAnsi"/>
          <w:lang w:val="sr-Latn-RS"/>
        </w:rPr>
      </w:pPr>
      <w:r w:rsidRPr="00F5183F">
        <w:rPr>
          <w:rFonts w:asciiTheme="minorHAnsi" w:hAnsiTheme="minorHAnsi"/>
          <w:lang w:val="sr-Latn-RS"/>
        </w:rPr>
        <w:t xml:space="preserve">Praćenje faktičkog broja korisnika različitih vrsta </w:t>
      </w:r>
      <w:r w:rsidR="008900C0" w:rsidRPr="00F5183F">
        <w:rPr>
          <w:rFonts w:asciiTheme="minorHAnsi" w:hAnsiTheme="minorHAnsi"/>
          <w:lang w:val="sr-Latn-RS"/>
        </w:rPr>
        <w:t>materijalne podrške</w:t>
      </w:r>
      <w:r w:rsidRPr="00F5183F">
        <w:rPr>
          <w:rFonts w:asciiTheme="minorHAnsi" w:hAnsiTheme="minorHAnsi"/>
          <w:lang w:val="sr-Latn-RS"/>
        </w:rPr>
        <w:t xml:space="preserve"> na lokalnom nivou ne obezbeđuje adekvatne informacije, pošto nije u pitanju osnovno pravo koje se dodeljuje u svim JLS po jednakim kriterijumima. U zavisnosti od lokalne politike i trenutnih okolnosti, pojedine JLS mogu da dodeljuju velike iznose materijalne podrške malom broju korisnika, a pojedine veoma male, beznačajne sume velikom broju ugroženih. Da bi se obezbedila uporedivost, potrebno je da se izračuna koliko bi svaka JLS imala korisnika u hipotetičkoj situaciji kada bi svaki korisnik na godišnjem nivou dobio jednaku sumu pomoći u visini jedne neto prosečne zarade. Taj hipotetički ekvivalentni broj korisnika je indikator veličine programa u pojedinim opštinama i gradovima:</w:t>
      </w:r>
    </w:p>
    <w:p w14:paraId="6A7AFD7F" w14:textId="77777777" w:rsidR="00D8615D" w:rsidRPr="00F5183F" w:rsidRDefault="00D8615D" w:rsidP="00D8615D">
      <w:pPr>
        <w:pBdr>
          <w:top w:val="single" w:sz="4" w:space="1" w:color="auto"/>
          <w:left w:val="single" w:sz="4" w:space="4" w:color="auto"/>
          <w:bottom w:val="single" w:sz="4" w:space="1" w:color="auto"/>
          <w:right w:val="single" w:sz="4" w:space="4" w:color="auto"/>
        </w:pBdr>
        <w:spacing w:after="120"/>
        <w:jc w:val="both"/>
        <w:rPr>
          <w:rFonts w:asciiTheme="minorHAnsi" w:hAnsiTheme="minorHAnsi"/>
          <w:lang w:val="sr-Latn-RS"/>
        </w:rPr>
      </w:pPr>
      <w:r w:rsidRPr="00F5183F">
        <w:rPr>
          <w:rFonts w:asciiTheme="minorHAnsi" w:hAnsiTheme="minorHAnsi"/>
          <w:lang w:val="sr-Latn-RS"/>
        </w:rPr>
        <w:t xml:space="preserve">EKPZ </w:t>
      </w:r>
      <m:oMath>
        <m:r>
          <w:rPr>
            <w:rFonts w:ascii="Cambria Math" w:hAnsi="Cambria Math"/>
            <w:lang w:val="sr-Latn-RS"/>
          </w:rPr>
          <m:t>=</m:t>
        </m:r>
        <m:f>
          <m:fPr>
            <m:ctrlPr>
              <w:rPr>
                <w:rFonts w:ascii="Cambria Math" w:hAnsi="Cambria Math"/>
                <w:i/>
                <w:lang w:val="sr-Latn-RS"/>
              </w:rPr>
            </m:ctrlPr>
          </m:fPr>
          <m:num>
            <m:r>
              <w:rPr>
                <w:rFonts w:ascii="Cambria Math" w:hAnsi="Cambria Math"/>
                <w:color w:val="141112"/>
                <w:lang w:val="sr-Latn-RS"/>
              </w:rPr>
              <m:t>ukupna godišnja suma davanja u datoj JLS</m:t>
            </m:r>
          </m:num>
          <m:den>
            <m:r>
              <w:rPr>
                <w:rFonts w:ascii="Cambria Math" w:hAnsi="Cambria Math"/>
                <w:color w:val="141112"/>
                <w:lang w:val="sr-Latn-RS"/>
              </w:rPr>
              <m:t>PZ</m:t>
            </m:r>
          </m:den>
        </m:f>
      </m:oMath>
    </w:p>
    <w:p w14:paraId="0B5BDACA" w14:textId="77777777" w:rsidR="00D8615D" w:rsidRPr="00F5183F" w:rsidRDefault="00D8615D" w:rsidP="00D8615D">
      <w:pPr>
        <w:pBdr>
          <w:top w:val="single" w:sz="4" w:space="1" w:color="auto"/>
          <w:left w:val="single" w:sz="4" w:space="4" w:color="auto"/>
          <w:bottom w:val="single" w:sz="4" w:space="1" w:color="auto"/>
          <w:right w:val="single" w:sz="4" w:space="4" w:color="auto"/>
        </w:pBdr>
        <w:spacing w:after="120"/>
        <w:jc w:val="both"/>
        <w:rPr>
          <w:rFonts w:asciiTheme="minorHAnsi" w:hAnsiTheme="minorHAnsi"/>
          <w:i/>
          <w:lang w:val="sr-Latn-RS"/>
        </w:rPr>
      </w:pPr>
      <w:r w:rsidRPr="00F5183F">
        <w:rPr>
          <w:rFonts w:asciiTheme="minorHAnsi" w:hAnsiTheme="minorHAnsi"/>
          <w:lang w:val="sr-Latn-RS"/>
        </w:rPr>
        <w:t>EKPZ</w:t>
      </w:r>
      <w:r w:rsidRPr="00F5183F">
        <w:rPr>
          <w:rFonts w:asciiTheme="minorHAnsi" w:hAnsiTheme="minorHAnsi"/>
          <w:i/>
          <w:lang w:val="sr-Latn-RS"/>
        </w:rPr>
        <w:t xml:space="preserve">  –  ekvivalentan (hipotetički) broj korisnika pomoći u visini jedne neto prosečne  zarade</w:t>
      </w:r>
    </w:p>
    <w:p w14:paraId="5DE52F34" w14:textId="77777777" w:rsidR="00D8615D" w:rsidRPr="00F5183F" w:rsidRDefault="00D8615D" w:rsidP="00D8615D">
      <w:pPr>
        <w:pBdr>
          <w:top w:val="single" w:sz="4" w:space="1" w:color="auto"/>
          <w:left w:val="single" w:sz="4" w:space="4" w:color="auto"/>
          <w:bottom w:val="single" w:sz="4" w:space="1" w:color="auto"/>
          <w:right w:val="single" w:sz="4" w:space="4" w:color="auto"/>
        </w:pBdr>
        <w:spacing w:after="120"/>
        <w:jc w:val="both"/>
        <w:rPr>
          <w:rFonts w:asciiTheme="minorHAnsi" w:hAnsiTheme="minorHAnsi"/>
          <w:lang w:val="sr-Latn-RS"/>
        </w:rPr>
      </w:pPr>
      <w:r w:rsidRPr="00F5183F">
        <w:rPr>
          <w:rFonts w:asciiTheme="minorHAnsi" w:hAnsiTheme="minorHAnsi"/>
          <w:lang w:val="sr-Latn-RS"/>
        </w:rPr>
        <w:t xml:space="preserve">PZ  – </w:t>
      </w:r>
      <w:r w:rsidRPr="00F5183F">
        <w:rPr>
          <w:rFonts w:asciiTheme="minorHAnsi" w:hAnsiTheme="minorHAnsi"/>
          <w:i/>
          <w:color w:val="141112"/>
          <w:lang w:val="sr-Latn-RS"/>
        </w:rPr>
        <w:t xml:space="preserve"> prosečna mesečna zarada po zaposlenom bez poreza i doprinosa u RS</w:t>
      </w:r>
      <w:r w:rsidRPr="00F5183F">
        <w:rPr>
          <w:rFonts w:asciiTheme="minorHAnsi" w:hAnsiTheme="minorHAnsi"/>
          <w:lang w:val="sr-Latn-RS"/>
        </w:rPr>
        <w:t xml:space="preserve"> </w:t>
      </w:r>
    </w:p>
    <w:p w14:paraId="017F9D45" w14:textId="77777777" w:rsidR="00D8615D" w:rsidRPr="00F5183F" w:rsidRDefault="00D8615D" w:rsidP="00D8615D">
      <w:pPr>
        <w:pBdr>
          <w:top w:val="single" w:sz="4" w:space="1" w:color="auto"/>
          <w:left w:val="single" w:sz="4" w:space="4" w:color="auto"/>
          <w:bottom w:val="single" w:sz="4" w:space="1" w:color="auto"/>
          <w:right w:val="single" w:sz="4" w:space="4" w:color="auto"/>
        </w:pBdr>
        <w:spacing w:after="120"/>
        <w:jc w:val="both"/>
        <w:rPr>
          <w:rFonts w:asciiTheme="minorHAnsi" w:hAnsiTheme="minorHAnsi"/>
          <w:lang w:val="sr-Latn-RS"/>
        </w:rPr>
      </w:pPr>
      <w:r w:rsidRPr="00F5183F">
        <w:rPr>
          <w:rFonts w:asciiTheme="minorHAnsi" w:hAnsiTheme="minorHAnsi"/>
          <w:lang w:val="sr-Latn-RS"/>
        </w:rPr>
        <w:t>Obuhvat (hipotetička opšta stopa obuhvata) kao indikator učinka predstavlja odnos između EKPZ i ukupnog broja domaćinstava u datoj JLS.</w:t>
      </w:r>
    </w:p>
    <w:p w14:paraId="1FB518FA" w14:textId="70D98556" w:rsidR="00424259" w:rsidRPr="00F5183F" w:rsidRDefault="00D8615D" w:rsidP="00423334">
      <w:pPr>
        <w:jc w:val="both"/>
        <w:rPr>
          <w:rFonts w:ascii="Cambria" w:hAnsi="Cambria"/>
          <w:b/>
          <w:smallCaps/>
          <w:lang w:val="sr-Latn-RS"/>
        </w:rPr>
      </w:pPr>
      <w:r w:rsidRPr="00F5183F">
        <w:rPr>
          <w:rFonts w:asciiTheme="minorHAnsi" w:hAnsiTheme="minorHAnsi"/>
          <w:i/>
          <w:color w:val="000000" w:themeColor="text1"/>
          <w:lang w:val="sr-Latn-RS"/>
        </w:rPr>
        <w:lastRenderedPageBreak/>
        <w:t>Hipotetička opšta stopa obuhvata</w:t>
      </w:r>
      <w:r w:rsidRPr="00F5183F">
        <w:rPr>
          <w:rFonts w:asciiTheme="minorHAnsi" w:hAnsiTheme="minorHAnsi"/>
          <w:color w:val="000000" w:themeColor="text1"/>
          <w:lang w:val="sr-Latn-RS"/>
        </w:rPr>
        <w:t xml:space="preserve"> materijalnom podrškom u opštini Bač je iznosila </w:t>
      </w:r>
      <w:r w:rsidR="00423334" w:rsidRPr="00F5183F">
        <w:rPr>
          <w:rFonts w:asciiTheme="minorHAnsi" w:hAnsiTheme="minorHAnsi"/>
          <w:color w:val="000000" w:themeColor="text1"/>
          <w:lang w:val="sr-Latn-RS"/>
        </w:rPr>
        <w:t>18</w:t>
      </w:r>
      <w:r w:rsidRPr="00F5183F">
        <w:rPr>
          <w:rFonts w:asciiTheme="minorHAnsi" w:hAnsiTheme="minorHAnsi"/>
          <w:color w:val="000000" w:themeColor="text1"/>
          <w:lang w:val="sr-Latn-RS"/>
        </w:rPr>
        <w:t>,</w:t>
      </w:r>
      <w:r w:rsidR="00423334" w:rsidRPr="00F5183F">
        <w:rPr>
          <w:rFonts w:asciiTheme="minorHAnsi" w:hAnsiTheme="minorHAnsi"/>
          <w:color w:val="000000" w:themeColor="text1"/>
          <w:lang w:val="sr-Latn-RS"/>
        </w:rPr>
        <w:t>7</w:t>
      </w:r>
      <w:r w:rsidRPr="00F5183F">
        <w:rPr>
          <w:rFonts w:asciiTheme="minorHAnsi" w:hAnsiTheme="minorHAnsi"/>
          <w:color w:val="000000" w:themeColor="text1"/>
          <w:lang w:val="sr-Latn-RS"/>
        </w:rPr>
        <w:t xml:space="preserve">% 2018. godine i </w:t>
      </w:r>
      <w:r w:rsidR="00423334" w:rsidRPr="00F5183F">
        <w:rPr>
          <w:rFonts w:asciiTheme="minorHAnsi" w:hAnsiTheme="minorHAnsi"/>
          <w:color w:val="000000" w:themeColor="text1"/>
          <w:lang w:val="sr-Latn-RS"/>
        </w:rPr>
        <w:t xml:space="preserve">više je nego trostruko veća </w:t>
      </w:r>
      <w:r w:rsidRPr="00F5183F">
        <w:rPr>
          <w:rFonts w:asciiTheme="minorHAnsi" w:hAnsiTheme="minorHAnsi"/>
          <w:color w:val="000000" w:themeColor="text1"/>
          <w:lang w:val="sr-Latn-RS"/>
        </w:rPr>
        <w:t xml:space="preserve">od neponderisanog proseka za Srbiju (5,4%). </w:t>
      </w:r>
      <w:r w:rsidR="00423334" w:rsidRPr="00F5183F">
        <w:rPr>
          <w:rFonts w:asciiTheme="minorHAnsi" w:hAnsiTheme="minorHAnsi"/>
          <w:color w:val="000000" w:themeColor="text1"/>
          <w:lang w:val="sr-Latn-RS"/>
        </w:rPr>
        <w:t xml:space="preserve">Samo jedna JLS beleži veću vrednost ovog indikatora od opštine Bač. </w:t>
      </w:r>
    </w:p>
    <w:p w14:paraId="53CA7D96" w14:textId="1A40BF82" w:rsidR="00562B6C" w:rsidRPr="00F5183F" w:rsidRDefault="00562B6C" w:rsidP="00B31AF7">
      <w:pPr>
        <w:jc w:val="center"/>
        <w:rPr>
          <w:rFonts w:asciiTheme="minorHAnsi" w:hAnsiTheme="minorHAnsi" w:cstheme="minorHAnsi"/>
          <w:b/>
          <w:smallCaps/>
          <w:sz w:val="28"/>
          <w:szCs w:val="28"/>
          <w:lang w:val="sr-Latn-RS"/>
        </w:rPr>
      </w:pPr>
    </w:p>
    <w:p w14:paraId="161CB2FB" w14:textId="77777777" w:rsidR="0063590B" w:rsidRPr="00F5183F" w:rsidRDefault="0063590B" w:rsidP="0063590B">
      <w:pPr>
        <w:jc w:val="both"/>
        <w:rPr>
          <w:rFonts w:asciiTheme="minorHAnsi" w:hAnsiTheme="minorHAnsi"/>
          <w:b/>
          <w:bCs/>
          <w:color w:val="000000" w:themeColor="text1"/>
          <w:lang w:val="sr-Latn-RS"/>
        </w:rPr>
      </w:pPr>
      <w:r w:rsidRPr="00F5183F">
        <w:rPr>
          <w:rFonts w:asciiTheme="minorHAnsi" w:hAnsiTheme="minorHAnsi"/>
          <w:b/>
          <w:bCs/>
          <w:color w:val="000000" w:themeColor="text1"/>
          <w:lang w:val="sr-Latn-RS"/>
        </w:rPr>
        <w:t>Socijalna zaštita na lokalnom nivou - rezime i preporuke</w:t>
      </w:r>
    </w:p>
    <w:p w14:paraId="660B1183" w14:textId="77777777" w:rsidR="0063590B" w:rsidRPr="00F5183F" w:rsidRDefault="0063590B" w:rsidP="0063590B">
      <w:pPr>
        <w:rPr>
          <w:rFonts w:asciiTheme="minorHAnsi" w:hAnsiTheme="minorHAnsi" w:cstheme="minorHAnsi"/>
          <w:b/>
          <w:smallCaps/>
          <w:lang w:val="sr-Latn-RS"/>
        </w:rPr>
      </w:pPr>
    </w:p>
    <w:p w14:paraId="51ABC6A0" w14:textId="22154822" w:rsidR="0063590B" w:rsidRPr="00F5183F" w:rsidRDefault="0063590B" w:rsidP="001054FE">
      <w:pPr>
        <w:jc w:val="both"/>
        <w:rPr>
          <w:rFonts w:asciiTheme="minorHAnsi" w:hAnsiTheme="minorHAnsi"/>
          <w:lang w:val="sr-Latn-RS"/>
        </w:rPr>
      </w:pPr>
      <w:r w:rsidRPr="00F5183F">
        <w:rPr>
          <w:rFonts w:asciiTheme="minorHAnsi" w:hAnsiTheme="minorHAnsi"/>
          <w:lang w:val="sr-Latn-RS"/>
        </w:rPr>
        <w:t>Sprovedena analiza pokazuje da</w:t>
      </w:r>
      <w:r w:rsidR="00AC46FF" w:rsidRPr="00F5183F">
        <w:rPr>
          <w:rFonts w:asciiTheme="minorHAnsi" w:hAnsiTheme="minorHAnsi"/>
          <w:lang w:val="sr-Latn-RS"/>
        </w:rPr>
        <w:t xml:space="preserve"> je</w:t>
      </w:r>
      <w:r w:rsidRPr="00F5183F">
        <w:rPr>
          <w:rFonts w:asciiTheme="minorHAnsi" w:hAnsiTheme="minorHAnsi"/>
          <w:lang w:val="sr-Latn-RS"/>
        </w:rPr>
        <w:t xml:space="preserve"> </w:t>
      </w:r>
      <w:r w:rsidR="00AC46FF" w:rsidRPr="00F5183F">
        <w:rPr>
          <w:rFonts w:asciiTheme="minorHAnsi" w:hAnsiTheme="minorHAnsi"/>
          <w:lang w:val="sr-Latn-RS"/>
        </w:rPr>
        <w:t xml:space="preserve">udeo </w:t>
      </w:r>
      <w:r w:rsidRPr="00F5183F">
        <w:rPr>
          <w:rFonts w:asciiTheme="minorHAnsi" w:hAnsiTheme="minorHAnsi"/>
          <w:lang w:val="sr-Latn-RS"/>
        </w:rPr>
        <w:t>rashod</w:t>
      </w:r>
      <w:r w:rsidR="00AC46FF" w:rsidRPr="00F5183F">
        <w:rPr>
          <w:rFonts w:asciiTheme="minorHAnsi" w:hAnsiTheme="minorHAnsi"/>
          <w:lang w:val="sr-Latn-RS"/>
        </w:rPr>
        <w:t>a</w:t>
      </w:r>
      <w:r w:rsidRPr="00F5183F">
        <w:rPr>
          <w:rFonts w:asciiTheme="minorHAnsi" w:hAnsiTheme="minorHAnsi"/>
          <w:lang w:val="sr-Latn-RS"/>
        </w:rPr>
        <w:t xml:space="preserve"> za socijalnu zaštitu </w:t>
      </w:r>
      <w:r w:rsidR="00AC46FF" w:rsidRPr="00F5183F">
        <w:rPr>
          <w:rFonts w:asciiTheme="minorHAnsi" w:hAnsiTheme="minorHAnsi"/>
          <w:lang w:val="sr-Latn-RS"/>
        </w:rPr>
        <w:t xml:space="preserve">(prema funkcionalnoj klasifikaciji) </w:t>
      </w:r>
      <w:r w:rsidRPr="00F5183F">
        <w:rPr>
          <w:rFonts w:asciiTheme="minorHAnsi" w:hAnsiTheme="minorHAnsi"/>
          <w:lang w:val="sr-Latn-RS"/>
        </w:rPr>
        <w:t xml:space="preserve">iz lokalnog budžeta u opštini </w:t>
      </w:r>
      <w:r w:rsidR="00570E8B" w:rsidRPr="00F5183F">
        <w:rPr>
          <w:rFonts w:asciiTheme="minorHAnsi" w:hAnsiTheme="minorHAnsi"/>
          <w:lang w:val="sr-Latn-RS"/>
        </w:rPr>
        <w:t>Bač</w:t>
      </w:r>
      <w:r w:rsidRPr="00F5183F">
        <w:rPr>
          <w:rFonts w:asciiTheme="minorHAnsi" w:hAnsiTheme="minorHAnsi"/>
          <w:lang w:val="sr-Latn-RS"/>
        </w:rPr>
        <w:t xml:space="preserve"> </w:t>
      </w:r>
      <w:r w:rsidR="00242DEE">
        <w:rPr>
          <w:rFonts w:asciiTheme="minorHAnsi" w:hAnsiTheme="minorHAnsi"/>
          <w:lang w:val="sr-Latn-RS"/>
        </w:rPr>
        <w:t xml:space="preserve">nešto </w:t>
      </w:r>
      <w:r w:rsidRPr="00F5183F">
        <w:rPr>
          <w:rFonts w:asciiTheme="minorHAnsi" w:hAnsiTheme="minorHAnsi"/>
          <w:lang w:val="sr-Latn-RS"/>
        </w:rPr>
        <w:t>niž</w:t>
      </w:r>
      <w:r w:rsidR="00A71FF0" w:rsidRPr="00F5183F">
        <w:rPr>
          <w:rFonts w:asciiTheme="minorHAnsi" w:hAnsiTheme="minorHAnsi"/>
          <w:lang w:val="sr-Latn-RS"/>
        </w:rPr>
        <w:t>i</w:t>
      </w:r>
      <w:r w:rsidRPr="00F5183F">
        <w:rPr>
          <w:rFonts w:asciiTheme="minorHAnsi" w:hAnsiTheme="minorHAnsi"/>
          <w:lang w:val="sr-Latn-RS"/>
        </w:rPr>
        <w:t xml:space="preserve"> od proseka u Srbiji, dok  nalazi mapiranja indiciraju da je obim intervencije i u oblasti usluga socijalne zaštite i u domenu materijalne podrške u nadležnosti JLS viši od proseka. </w:t>
      </w:r>
      <w:r w:rsidR="00570E8B" w:rsidRPr="00F5183F">
        <w:rPr>
          <w:rFonts w:asciiTheme="minorHAnsi" w:hAnsiTheme="minorHAnsi"/>
          <w:lang w:val="sr-Latn-RS"/>
        </w:rPr>
        <w:t xml:space="preserve">Bač se posebno izdvaja po ulaganju u materijalnu podršku, iako treba imati u vidu da sva davanja koja su zabeležena </w:t>
      </w:r>
      <w:r w:rsidR="00E44774">
        <w:rPr>
          <w:rFonts w:asciiTheme="minorHAnsi" w:hAnsiTheme="minorHAnsi"/>
          <w:lang w:val="sr-Latn-RS"/>
        </w:rPr>
        <w:t>kroz</w:t>
      </w:r>
      <w:r w:rsidR="00570E8B" w:rsidRPr="00F5183F">
        <w:rPr>
          <w:rFonts w:asciiTheme="minorHAnsi" w:hAnsiTheme="minorHAnsi"/>
          <w:lang w:val="sr-Latn-RS"/>
        </w:rPr>
        <w:t xml:space="preserve"> mapiranj</w:t>
      </w:r>
      <w:r w:rsidR="00E44774">
        <w:rPr>
          <w:rFonts w:asciiTheme="minorHAnsi" w:hAnsiTheme="minorHAnsi"/>
          <w:lang w:val="sr-Latn-RS"/>
        </w:rPr>
        <w:t>e</w:t>
      </w:r>
      <w:r w:rsidR="00570E8B" w:rsidRPr="00F5183F">
        <w:rPr>
          <w:rFonts w:asciiTheme="minorHAnsi" w:hAnsiTheme="minorHAnsi"/>
          <w:lang w:val="sr-Latn-RS"/>
        </w:rPr>
        <w:t xml:space="preserve"> ne pripadaju socijalnoj zaštiti po funkcionalnoj klasifikaciji. Usluge socijalne zaštite su pak značajnim delom fina</w:t>
      </w:r>
      <w:r w:rsidR="0022736B">
        <w:rPr>
          <w:rFonts w:asciiTheme="minorHAnsi" w:hAnsiTheme="minorHAnsi"/>
          <w:lang w:val="sr-Latn-RS"/>
        </w:rPr>
        <w:t>nsirane</w:t>
      </w:r>
      <w:r w:rsidR="00570E8B" w:rsidRPr="00F5183F">
        <w:rPr>
          <w:rFonts w:asciiTheme="minorHAnsi" w:hAnsiTheme="minorHAnsi"/>
          <w:lang w:val="sr-Latn-RS"/>
        </w:rPr>
        <w:t xml:space="preserve"> iz donatorskih projekata, što pokreće pitanje njihove održivosti.</w:t>
      </w:r>
    </w:p>
    <w:p w14:paraId="35E9B777" w14:textId="77777777" w:rsidR="0063590B" w:rsidRPr="00F5183F" w:rsidRDefault="0063590B" w:rsidP="001054FE">
      <w:pPr>
        <w:rPr>
          <w:rFonts w:asciiTheme="minorHAnsi" w:hAnsiTheme="minorHAnsi"/>
          <w:lang w:val="sr-Latn-RS"/>
        </w:rPr>
      </w:pPr>
    </w:p>
    <w:p w14:paraId="62301C35" w14:textId="6BE1EA5A" w:rsidR="0063590B" w:rsidRPr="00F5183F" w:rsidRDefault="00570E8B" w:rsidP="001054FE">
      <w:pPr>
        <w:jc w:val="both"/>
        <w:rPr>
          <w:rFonts w:asciiTheme="minorHAnsi" w:hAnsiTheme="minorHAnsi"/>
          <w:lang w:val="sr-Latn-RS"/>
        </w:rPr>
      </w:pPr>
      <w:r w:rsidRPr="00F5183F">
        <w:rPr>
          <w:rFonts w:asciiTheme="minorHAnsi" w:hAnsiTheme="minorHAnsi"/>
          <w:lang w:val="sr-Latn-RS"/>
        </w:rPr>
        <w:t>Opština Bač se u pozitivnom smi</w:t>
      </w:r>
      <w:r w:rsidR="00F5183F">
        <w:rPr>
          <w:rFonts w:asciiTheme="minorHAnsi" w:hAnsiTheme="minorHAnsi"/>
          <w:lang w:val="sr-Latn-RS"/>
        </w:rPr>
        <w:t>slu</w:t>
      </w:r>
      <w:r w:rsidRPr="00F5183F">
        <w:rPr>
          <w:rFonts w:asciiTheme="minorHAnsi" w:hAnsiTheme="minorHAnsi"/>
          <w:lang w:val="sr-Latn-RS"/>
        </w:rPr>
        <w:t xml:space="preserve"> izdvaja i po raznovrsnosti usluga socijalne zaštite, imajući u vidu da je 2018. godine obezbeđivala četiri lokalna servisa. Dodatno, i</w:t>
      </w:r>
      <w:r w:rsidR="0063590B" w:rsidRPr="00F5183F">
        <w:rPr>
          <w:rFonts w:asciiTheme="minorHAnsi" w:hAnsiTheme="minorHAnsi"/>
          <w:lang w:val="sr-Latn-RS"/>
        </w:rPr>
        <w:t xml:space="preserve">ndikatori dostupnosti i efikasnosti </w:t>
      </w:r>
      <w:r w:rsidRPr="00F5183F">
        <w:rPr>
          <w:rFonts w:asciiTheme="minorHAnsi" w:hAnsiTheme="minorHAnsi"/>
          <w:lang w:val="sr-Latn-RS"/>
        </w:rPr>
        <w:t xml:space="preserve">za uslugu pomoć u kući za stare su značajno </w:t>
      </w:r>
      <w:r w:rsidR="0063590B" w:rsidRPr="00F5183F">
        <w:rPr>
          <w:rFonts w:asciiTheme="minorHAnsi" w:hAnsiTheme="minorHAnsi"/>
          <w:lang w:val="sr-Latn-RS"/>
        </w:rPr>
        <w:t>iznad republičkog proseka</w:t>
      </w:r>
      <w:r w:rsidRPr="00F5183F">
        <w:rPr>
          <w:rFonts w:asciiTheme="minorHAnsi" w:hAnsiTheme="minorHAnsi"/>
          <w:lang w:val="sr-Latn-RS"/>
        </w:rPr>
        <w:t xml:space="preserve"> i </w:t>
      </w:r>
      <w:r w:rsidR="00650454" w:rsidRPr="00F5183F">
        <w:rPr>
          <w:rFonts w:asciiTheme="minorHAnsi" w:hAnsiTheme="minorHAnsi"/>
          <w:lang w:val="sr-Latn-RS"/>
        </w:rPr>
        <w:t>veoma su unapređeni u odnosu na 2015. godinu</w:t>
      </w:r>
      <w:r w:rsidR="0063590B" w:rsidRPr="00F5183F">
        <w:rPr>
          <w:rFonts w:asciiTheme="minorHAnsi" w:hAnsiTheme="minorHAnsi"/>
          <w:lang w:val="sr-Latn-RS"/>
        </w:rPr>
        <w:t xml:space="preserve">.   </w:t>
      </w:r>
    </w:p>
    <w:p w14:paraId="6AB6FE22" w14:textId="77777777" w:rsidR="0063590B" w:rsidRPr="00F5183F" w:rsidRDefault="0063590B" w:rsidP="001054FE">
      <w:pPr>
        <w:rPr>
          <w:rFonts w:asciiTheme="minorHAnsi" w:hAnsiTheme="minorHAnsi"/>
          <w:lang w:val="sr-Latn-RS"/>
        </w:rPr>
      </w:pPr>
    </w:p>
    <w:p w14:paraId="3A6ED7B1" w14:textId="42D2A72B" w:rsidR="00E73FF0" w:rsidRPr="00F5183F" w:rsidRDefault="0063590B" w:rsidP="001054FE">
      <w:pPr>
        <w:jc w:val="both"/>
        <w:rPr>
          <w:rFonts w:asciiTheme="minorHAnsi" w:hAnsiTheme="minorHAnsi"/>
          <w:lang w:val="sr-Latn-RS"/>
        </w:rPr>
      </w:pPr>
      <w:r w:rsidRPr="00F5183F">
        <w:rPr>
          <w:rFonts w:asciiTheme="minorHAnsi" w:hAnsiTheme="minorHAnsi"/>
          <w:lang w:val="sr-Latn-RS"/>
        </w:rPr>
        <w:t>Na osnovu raspoloživih podatak</w:t>
      </w:r>
      <w:r w:rsidR="00D050CB">
        <w:rPr>
          <w:rFonts w:asciiTheme="minorHAnsi" w:hAnsiTheme="minorHAnsi"/>
          <w:lang w:val="sr-Latn-RS"/>
        </w:rPr>
        <w:t>a</w:t>
      </w:r>
      <w:r w:rsidR="00087D10">
        <w:rPr>
          <w:rFonts w:asciiTheme="minorHAnsi" w:hAnsiTheme="minorHAnsi"/>
          <w:lang w:val="sr-Latn-RS"/>
        </w:rPr>
        <w:t xml:space="preserve"> </w:t>
      </w:r>
      <w:r w:rsidRPr="00F5183F">
        <w:rPr>
          <w:rFonts w:asciiTheme="minorHAnsi" w:hAnsiTheme="minorHAnsi"/>
          <w:lang w:val="sr-Latn-RS"/>
        </w:rPr>
        <w:t xml:space="preserve">iz 2018. i 2019. godine, u narednom periodu bi u oblasti socijalne zaštite u delu u kome je za nju nadležna lokalna samouprava, naglasak trebao da bude </w:t>
      </w:r>
      <w:r w:rsidR="00D050CB" w:rsidRPr="00F5183F">
        <w:rPr>
          <w:rFonts w:asciiTheme="minorHAnsi" w:hAnsiTheme="minorHAnsi"/>
          <w:lang w:val="sr-Latn-RS"/>
        </w:rPr>
        <w:t xml:space="preserve">na održivosti usluga </w:t>
      </w:r>
      <w:r w:rsidR="00D050CB">
        <w:rPr>
          <w:rFonts w:asciiTheme="minorHAnsi" w:hAnsiTheme="minorHAnsi"/>
          <w:lang w:val="sr-Latn-RS"/>
        </w:rPr>
        <w:t xml:space="preserve">i </w:t>
      </w:r>
      <w:r w:rsidR="00242DEE">
        <w:rPr>
          <w:rFonts w:asciiTheme="minorHAnsi" w:hAnsiTheme="minorHAnsi"/>
          <w:lang w:val="sr-Latn-RS"/>
        </w:rPr>
        <w:t xml:space="preserve">samim tim </w:t>
      </w:r>
      <w:r w:rsidR="00D050CB">
        <w:rPr>
          <w:rFonts w:asciiTheme="minorHAnsi" w:hAnsiTheme="minorHAnsi"/>
          <w:lang w:val="sr-Latn-RS"/>
        </w:rPr>
        <w:t xml:space="preserve">na </w:t>
      </w:r>
      <w:r w:rsidR="00E73FF0" w:rsidRPr="00F5183F">
        <w:rPr>
          <w:rFonts w:asciiTheme="minorHAnsi" w:hAnsiTheme="minorHAnsi"/>
          <w:lang w:val="sr-Latn-RS"/>
        </w:rPr>
        <w:t>većim ulaganjima iz budžeta opštine</w:t>
      </w:r>
      <w:r w:rsidR="00D050CB">
        <w:rPr>
          <w:rFonts w:asciiTheme="minorHAnsi" w:hAnsiTheme="minorHAnsi"/>
          <w:lang w:val="sr-Latn-RS"/>
        </w:rPr>
        <w:t xml:space="preserve"> za ove namene</w:t>
      </w:r>
      <w:r w:rsidR="00E73FF0" w:rsidRPr="00F5183F">
        <w:rPr>
          <w:rFonts w:asciiTheme="minorHAnsi" w:hAnsiTheme="minorHAnsi"/>
          <w:lang w:val="sr-Latn-RS"/>
        </w:rPr>
        <w:t xml:space="preserve">. Postoji značajan prostor i za unapređenje usluge </w:t>
      </w:r>
      <w:r w:rsidRPr="00F5183F">
        <w:rPr>
          <w:rFonts w:asciiTheme="minorHAnsi" w:hAnsiTheme="minorHAnsi"/>
          <w:lang w:val="sr-Latn-RS"/>
        </w:rPr>
        <w:t xml:space="preserve">dnevni boravak </w:t>
      </w:r>
      <w:r w:rsidR="00E73FF0" w:rsidRPr="00F5183F">
        <w:rPr>
          <w:rFonts w:asciiTheme="minorHAnsi" w:hAnsiTheme="minorHAnsi"/>
          <w:lang w:val="sr-Latn-RS"/>
        </w:rPr>
        <w:t xml:space="preserve">za decu sa invaliditetom </w:t>
      </w:r>
      <w:r w:rsidRPr="00F5183F">
        <w:rPr>
          <w:rFonts w:asciiTheme="minorHAnsi" w:hAnsiTheme="minorHAnsi"/>
          <w:lang w:val="sr-Latn-RS"/>
        </w:rPr>
        <w:t xml:space="preserve">i </w:t>
      </w:r>
      <w:r w:rsidR="00E73FF0" w:rsidRPr="00F5183F">
        <w:rPr>
          <w:rFonts w:asciiTheme="minorHAnsi" w:hAnsiTheme="minorHAnsi"/>
          <w:lang w:val="sr-Latn-RS"/>
        </w:rPr>
        <w:t>savetovalište, posebno s obzirom da se ovi servisi ne obezbeđuju tokom cele godine</w:t>
      </w:r>
      <w:r w:rsidRPr="00F5183F">
        <w:rPr>
          <w:rFonts w:asciiTheme="minorHAnsi" w:hAnsiTheme="minorHAnsi"/>
          <w:lang w:val="sr-Latn-RS"/>
        </w:rPr>
        <w:t xml:space="preserve">. </w:t>
      </w:r>
      <w:r w:rsidR="00813165" w:rsidRPr="00F5183F">
        <w:rPr>
          <w:rFonts w:asciiTheme="minorHAnsi" w:hAnsiTheme="minorHAnsi"/>
          <w:lang w:val="sr-Latn-RS"/>
        </w:rPr>
        <w:t xml:space="preserve">I pomoć u kući se 2018. godine pružala </w:t>
      </w:r>
      <w:r w:rsidR="00E44774">
        <w:rPr>
          <w:rFonts w:asciiTheme="minorHAnsi" w:hAnsiTheme="minorHAnsi"/>
          <w:lang w:val="sr-Latn-RS"/>
        </w:rPr>
        <w:t xml:space="preserve">samo tokom </w:t>
      </w:r>
      <w:r w:rsidR="00813165" w:rsidRPr="00F5183F">
        <w:rPr>
          <w:rFonts w:asciiTheme="minorHAnsi" w:hAnsiTheme="minorHAnsi"/>
          <w:lang w:val="sr-Latn-RS"/>
        </w:rPr>
        <w:t xml:space="preserve">10 meseci. </w:t>
      </w:r>
      <w:r w:rsidR="00D050CB">
        <w:rPr>
          <w:rFonts w:asciiTheme="minorHAnsi" w:hAnsiTheme="minorHAnsi"/>
          <w:lang w:val="sr-Latn-RS"/>
        </w:rPr>
        <w:t>Za sve usluge potrebno je da se razmotri i mogućnost da se uvede participacija korisnika u finansiranj</w:t>
      </w:r>
      <w:r w:rsidR="004E5628">
        <w:rPr>
          <w:rFonts w:asciiTheme="minorHAnsi" w:hAnsiTheme="minorHAnsi"/>
          <w:lang w:val="sr-Latn-RS"/>
        </w:rPr>
        <w:t>u usluga. P</w:t>
      </w:r>
      <w:r w:rsidR="00813165" w:rsidRPr="00F5183F">
        <w:rPr>
          <w:rFonts w:asciiTheme="minorHAnsi" w:hAnsiTheme="minorHAnsi"/>
          <w:lang w:val="sr-Latn-RS"/>
        </w:rPr>
        <w:t>rioritet je i da pružalac usluge dnevni boravak dobije licencu, kako bi se osigurao kvalitet</w:t>
      </w:r>
      <w:r w:rsidR="00242DEE">
        <w:rPr>
          <w:rFonts w:asciiTheme="minorHAnsi" w:hAnsiTheme="minorHAnsi"/>
          <w:lang w:val="sr-Latn-RS"/>
        </w:rPr>
        <w:t xml:space="preserve"> u skladu sa nacionalnim standradima</w:t>
      </w:r>
      <w:r w:rsidR="00706B0E" w:rsidRPr="00F5183F">
        <w:rPr>
          <w:rFonts w:asciiTheme="minorHAnsi" w:hAnsiTheme="minorHAnsi"/>
          <w:lang w:val="sr-Latn-RS"/>
        </w:rPr>
        <w:t>.</w:t>
      </w:r>
      <w:r w:rsidR="00813165" w:rsidRPr="00F5183F">
        <w:rPr>
          <w:rFonts w:asciiTheme="minorHAnsi" w:hAnsiTheme="minorHAnsi"/>
          <w:lang w:val="sr-Latn-RS"/>
        </w:rPr>
        <w:t xml:space="preserve"> </w:t>
      </w:r>
    </w:p>
    <w:p w14:paraId="6FB541FF" w14:textId="14AE7C02" w:rsidR="00E73FF0" w:rsidRDefault="00E73FF0" w:rsidP="001054FE">
      <w:pPr>
        <w:jc w:val="both"/>
        <w:rPr>
          <w:rFonts w:asciiTheme="minorHAnsi" w:hAnsiTheme="minorHAnsi"/>
          <w:lang w:val="sr-Latn-RS"/>
        </w:rPr>
      </w:pPr>
    </w:p>
    <w:p w14:paraId="04D80AA2" w14:textId="0F628B8F" w:rsidR="00E44774" w:rsidRDefault="00E44774" w:rsidP="001054FE">
      <w:pPr>
        <w:jc w:val="both"/>
        <w:rPr>
          <w:rFonts w:asciiTheme="minorHAnsi" w:hAnsiTheme="minorHAnsi"/>
          <w:lang w:val="sr-Latn-RS"/>
        </w:rPr>
      </w:pPr>
      <w:r>
        <w:rPr>
          <w:rFonts w:asciiTheme="minorHAnsi" w:hAnsiTheme="minorHAnsi"/>
          <w:lang w:val="sr-Latn-RS"/>
        </w:rPr>
        <w:t xml:space="preserve">U oblasti materijalne podrške </w:t>
      </w:r>
      <w:r w:rsidRPr="00F5183F">
        <w:rPr>
          <w:rFonts w:asciiTheme="minorHAnsi" w:hAnsiTheme="minorHAnsi"/>
          <w:lang w:val="sr-Latn-RS"/>
        </w:rPr>
        <w:t xml:space="preserve">možda bi trebalo preispitati </w:t>
      </w:r>
      <w:r w:rsidR="00087D10">
        <w:rPr>
          <w:rFonts w:asciiTheme="minorHAnsi" w:hAnsiTheme="minorHAnsi"/>
          <w:lang w:val="sr-Latn-RS"/>
        </w:rPr>
        <w:t xml:space="preserve">opravdanost </w:t>
      </w:r>
      <w:r>
        <w:rPr>
          <w:rFonts w:asciiTheme="minorHAnsi" w:hAnsiTheme="minorHAnsi"/>
          <w:lang w:val="sr-Latn-RS"/>
        </w:rPr>
        <w:t>dodeljivanj</w:t>
      </w:r>
      <w:r w:rsidR="00087D10">
        <w:rPr>
          <w:rFonts w:asciiTheme="minorHAnsi" w:hAnsiTheme="minorHAnsi"/>
          <w:lang w:val="sr-Latn-RS"/>
        </w:rPr>
        <w:t>a</w:t>
      </w:r>
      <w:r>
        <w:rPr>
          <w:rFonts w:asciiTheme="minorHAnsi" w:hAnsiTheme="minorHAnsi"/>
          <w:lang w:val="sr-Latn-RS"/>
        </w:rPr>
        <w:t xml:space="preserve"> </w:t>
      </w:r>
      <w:r w:rsidRPr="00F5183F">
        <w:rPr>
          <w:rFonts w:asciiTheme="minorHAnsi" w:hAnsiTheme="minorHAnsi"/>
          <w:lang w:val="sr-Latn-RS"/>
        </w:rPr>
        <w:t>pomoć</w:t>
      </w:r>
      <w:r>
        <w:rPr>
          <w:rFonts w:asciiTheme="minorHAnsi" w:hAnsiTheme="minorHAnsi"/>
          <w:lang w:val="sr-Latn-RS"/>
        </w:rPr>
        <w:t>i</w:t>
      </w:r>
      <w:r w:rsidRPr="00F5183F">
        <w:rPr>
          <w:rFonts w:asciiTheme="minorHAnsi" w:hAnsiTheme="minorHAnsi"/>
          <w:lang w:val="sr-Latn-RS"/>
        </w:rPr>
        <w:t xml:space="preserve"> penzionerima sa minimalnim penzijama, koji ne žive nužno u siromašnim domaćinstvima.</w:t>
      </w:r>
    </w:p>
    <w:p w14:paraId="2C034659" w14:textId="77777777" w:rsidR="00E44774" w:rsidRPr="00F5183F" w:rsidRDefault="00E44774" w:rsidP="001054FE">
      <w:pPr>
        <w:jc w:val="both"/>
        <w:rPr>
          <w:rFonts w:asciiTheme="minorHAnsi" w:hAnsiTheme="minorHAnsi"/>
          <w:lang w:val="sr-Latn-RS"/>
        </w:rPr>
      </w:pPr>
    </w:p>
    <w:p w14:paraId="2610E76E" w14:textId="5FBE1CCB" w:rsidR="0063590B" w:rsidRPr="00F5183F" w:rsidRDefault="00446E55" w:rsidP="001054FE">
      <w:pPr>
        <w:jc w:val="both"/>
        <w:rPr>
          <w:rFonts w:asciiTheme="minorHAnsi" w:hAnsiTheme="minorHAnsi"/>
          <w:lang w:val="sr-Latn-RS"/>
        </w:rPr>
      </w:pPr>
      <w:r>
        <w:rPr>
          <w:rFonts w:asciiTheme="minorHAnsi" w:hAnsiTheme="minorHAnsi"/>
          <w:lang w:val="sr-Latn-RS"/>
        </w:rPr>
        <w:t>S</w:t>
      </w:r>
      <w:r w:rsidR="0063590B" w:rsidRPr="00F5183F">
        <w:rPr>
          <w:rFonts w:asciiTheme="minorHAnsi" w:hAnsiTheme="minorHAnsi"/>
          <w:lang w:val="sr-Latn-RS"/>
        </w:rPr>
        <w:t xml:space="preserve"> obzirom na </w:t>
      </w:r>
      <w:r w:rsidR="00242DEE">
        <w:rPr>
          <w:rFonts w:asciiTheme="minorHAnsi" w:hAnsiTheme="minorHAnsi"/>
          <w:lang w:val="sr-Latn-RS"/>
        </w:rPr>
        <w:t xml:space="preserve">da je u opštini Bač </w:t>
      </w:r>
      <w:r w:rsidR="00E73FF0" w:rsidRPr="00F5183F">
        <w:rPr>
          <w:rFonts w:asciiTheme="minorHAnsi" w:hAnsiTheme="minorHAnsi"/>
          <w:lang w:val="sr-Latn-RS"/>
        </w:rPr>
        <w:t>visok</w:t>
      </w:r>
      <w:r w:rsidR="00242DEE">
        <w:rPr>
          <w:rFonts w:asciiTheme="minorHAnsi" w:hAnsiTheme="minorHAnsi"/>
          <w:lang w:val="sr-Latn-RS"/>
        </w:rPr>
        <w:t>a</w:t>
      </w:r>
      <w:r w:rsidR="00E73FF0" w:rsidRPr="00F5183F">
        <w:rPr>
          <w:rFonts w:asciiTheme="minorHAnsi" w:hAnsiTheme="minorHAnsi"/>
          <w:lang w:val="sr-Latn-RS"/>
        </w:rPr>
        <w:t xml:space="preserve"> stop</w:t>
      </w:r>
      <w:r w:rsidR="00242DEE">
        <w:rPr>
          <w:rFonts w:asciiTheme="minorHAnsi" w:hAnsiTheme="minorHAnsi"/>
          <w:lang w:val="sr-Latn-RS"/>
        </w:rPr>
        <w:t>a</w:t>
      </w:r>
      <w:r w:rsidR="00E73FF0" w:rsidRPr="00F5183F">
        <w:rPr>
          <w:rFonts w:asciiTheme="minorHAnsi" w:hAnsiTheme="minorHAnsi"/>
          <w:lang w:val="sr-Latn-RS"/>
        </w:rPr>
        <w:t xml:space="preserve"> dece koja koriste uslugu smeštaja, potrebno je da se ulože dodatni napori i na lokalnom nivou radi podrške biološkim porodicama.</w:t>
      </w:r>
      <w:r w:rsidR="001054FE">
        <w:rPr>
          <w:rFonts w:asciiTheme="minorHAnsi" w:hAnsiTheme="minorHAnsi"/>
          <w:lang w:val="sr-Latn-RS"/>
        </w:rPr>
        <w:t xml:space="preserve"> Širenje informacija o hraniteljstvu, kako bi se sprečilo slanje dece u institucije je takođe značajno. </w:t>
      </w:r>
    </w:p>
    <w:p w14:paraId="27A9B994" w14:textId="77777777" w:rsidR="00920996" w:rsidRPr="00F5183F" w:rsidRDefault="00920996" w:rsidP="001054FE">
      <w:pPr>
        <w:rPr>
          <w:rFonts w:asciiTheme="minorHAnsi" w:hAnsiTheme="minorHAnsi" w:cstheme="minorHAnsi"/>
          <w:b/>
          <w:smallCaps/>
          <w:sz w:val="28"/>
          <w:szCs w:val="28"/>
          <w:lang w:val="sr-Latn-RS"/>
        </w:rPr>
      </w:pPr>
    </w:p>
    <w:p w14:paraId="6A983934" w14:textId="0060EF57" w:rsidR="00446E55" w:rsidRDefault="003C2F8A" w:rsidP="001054FE">
      <w:pPr>
        <w:jc w:val="both"/>
        <w:rPr>
          <w:rFonts w:asciiTheme="minorHAnsi" w:hAnsiTheme="minorHAnsi"/>
          <w:lang w:val="sr-Latn-RS"/>
        </w:rPr>
      </w:pPr>
      <w:r>
        <w:rPr>
          <w:rFonts w:asciiTheme="minorHAnsi" w:hAnsiTheme="minorHAnsi"/>
          <w:lang w:val="sr-Latn-RS"/>
        </w:rPr>
        <w:t xml:space="preserve">Dodatno, dalji razvoj pomoći u kući i povezivanje sa institucijama izvan socijalne zaštite posebno je važno imajući u vidu nepovoljne podatke o stopi smrtnosti usled samoubistava u opštini </w:t>
      </w:r>
      <w:r w:rsidR="00E44774">
        <w:rPr>
          <w:rFonts w:asciiTheme="minorHAnsi" w:hAnsiTheme="minorHAnsi"/>
          <w:lang w:val="sr-Latn-RS"/>
        </w:rPr>
        <w:t>Bač proteklih deset godina</w:t>
      </w:r>
      <w:r>
        <w:rPr>
          <w:rFonts w:asciiTheme="minorHAnsi" w:hAnsiTheme="minorHAnsi"/>
          <w:lang w:val="sr-Latn-RS"/>
        </w:rPr>
        <w:t>, kao i nalaze da su na republičkom nivou ugroženi pre svega stariji muškarci (80+).</w:t>
      </w:r>
      <w:r>
        <w:rPr>
          <w:rStyle w:val="FootnoteReference"/>
          <w:rFonts w:asciiTheme="minorHAnsi" w:hAnsiTheme="minorHAnsi"/>
          <w:lang w:val="sr-Latn-RS"/>
        </w:rPr>
        <w:footnoteReference w:id="21"/>
      </w:r>
      <w:r w:rsidR="002F7357">
        <w:rPr>
          <w:rFonts w:asciiTheme="minorHAnsi" w:hAnsiTheme="minorHAnsi"/>
          <w:lang w:val="sr-Latn-RS"/>
        </w:rPr>
        <w:t xml:space="preserve"> M</w:t>
      </w:r>
      <w:r w:rsidR="00446E55">
        <w:rPr>
          <w:rFonts w:asciiTheme="minorHAnsi" w:hAnsiTheme="minorHAnsi"/>
          <w:lang w:val="sr-Latn-RS"/>
        </w:rPr>
        <w:t xml:space="preserve">eđuresorno povezivanje </w:t>
      </w:r>
      <w:r w:rsidR="00242DEE">
        <w:rPr>
          <w:rFonts w:asciiTheme="minorHAnsi" w:hAnsiTheme="minorHAnsi"/>
          <w:lang w:val="sr-Latn-RS"/>
        </w:rPr>
        <w:t xml:space="preserve">loklanih </w:t>
      </w:r>
      <w:r w:rsidR="00446E55">
        <w:rPr>
          <w:rFonts w:asciiTheme="minorHAnsi" w:hAnsiTheme="minorHAnsi"/>
          <w:lang w:val="sr-Latn-RS"/>
        </w:rPr>
        <w:t xml:space="preserve">institucija socijalne i zdravstvene zaštite </w:t>
      </w:r>
      <w:r w:rsidR="00242DEE">
        <w:rPr>
          <w:rFonts w:asciiTheme="minorHAnsi" w:hAnsiTheme="minorHAnsi"/>
          <w:lang w:val="sr-Latn-RS"/>
        </w:rPr>
        <w:t xml:space="preserve">neophodno je i </w:t>
      </w:r>
      <w:r w:rsidR="00446E55">
        <w:rPr>
          <w:rFonts w:asciiTheme="minorHAnsi" w:hAnsiTheme="minorHAnsi"/>
          <w:lang w:val="sr-Latn-RS"/>
        </w:rPr>
        <w:t>s obzirom na nepovoljne podatke o stopi smrtnosti odojčadi.</w:t>
      </w:r>
    </w:p>
    <w:p w14:paraId="075D1D14" w14:textId="1A314051" w:rsidR="00E81F33" w:rsidRDefault="00E81F33" w:rsidP="001054FE">
      <w:pPr>
        <w:jc w:val="both"/>
        <w:rPr>
          <w:rFonts w:asciiTheme="minorHAnsi" w:hAnsiTheme="minorHAnsi"/>
          <w:lang w:val="sr-Latn-RS"/>
        </w:rPr>
      </w:pPr>
    </w:p>
    <w:p w14:paraId="6E7D11CE" w14:textId="3F2852EB" w:rsidR="00E81F33" w:rsidRDefault="002F7357" w:rsidP="001054FE">
      <w:pPr>
        <w:jc w:val="both"/>
        <w:rPr>
          <w:rFonts w:asciiTheme="minorHAnsi" w:hAnsiTheme="minorHAnsi"/>
          <w:lang w:val="sr-Latn-RS"/>
        </w:rPr>
      </w:pPr>
      <w:r>
        <w:rPr>
          <w:rFonts w:asciiTheme="minorHAnsi" w:hAnsiTheme="minorHAnsi"/>
          <w:lang w:val="sr-Latn-RS"/>
        </w:rPr>
        <w:lastRenderedPageBreak/>
        <w:t>Najzad,</w:t>
      </w:r>
      <w:r w:rsidRPr="00D050CB">
        <w:rPr>
          <w:rFonts w:asciiTheme="minorHAnsi" w:hAnsiTheme="minorHAnsi"/>
        </w:rPr>
        <w:t xml:space="preserve"> </w:t>
      </w:r>
      <w:r>
        <w:rPr>
          <w:rFonts w:asciiTheme="minorHAnsi" w:hAnsiTheme="minorHAnsi"/>
          <w:lang w:val="sr-Latn-RS"/>
        </w:rPr>
        <w:t>i</w:t>
      </w:r>
      <w:proofErr w:type="spellStart"/>
      <w:r w:rsidR="00D050CB" w:rsidRPr="00D050CB">
        <w:rPr>
          <w:rFonts w:asciiTheme="minorHAnsi" w:hAnsiTheme="minorHAnsi"/>
        </w:rPr>
        <w:t>zrada</w:t>
      </w:r>
      <w:proofErr w:type="spellEnd"/>
      <w:r w:rsidR="00D050CB" w:rsidRPr="00D050CB">
        <w:rPr>
          <w:rFonts w:asciiTheme="minorHAnsi" w:hAnsiTheme="minorHAnsi"/>
        </w:rPr>
        <w:t xml:space="preserve"> </w:t>
      </w:r>
      <w:proofErr w:type="spellStart"/>
      <w:r w:rsidR="00D050CB" w:rsidRPr="00D050CB">
        <w:rPr>
          <w:rFonts w:asciiTheme="minorHAnsi" w:hAnsiTheme="minorHAnsi"/>
        </w:rPr>
        <w:t>strateških</w:t>
      </w:r>
      <w:proofErr w:type="spellEnd"/>
      <w:r w:rsidR="00D050CB" w:rsidRPr="00D050CB">
        <w:rPr>
          <w:rFonts w:asciiTheme="minorHAnsi" w:hAnsiTheme="minorHAnsi"/>
        </w:rPr>
        <w:t xml:space="preserve"> </w:t>
      </w:r>
      <w:proofErr w:type="spellStart"/>
      <w:r w:rsidR="00D050CB" w:rsidRPr="00D050CB">
        <w:rPr>
          <w:rFonts w:asciiTheme="minorHAnsi" w:hAnsiTheme="minorHAnsi"/>
        </w:rPr>
        <w:t>dokumenata</w:t>
      </w:r>
      <w:proofErr w:type="spellEnd"/>
      <w:r w:rsidR="00D050CB" w:rsidRPr="00D050CB">
        <w:rPr>
          <w:rFonts w:asciiTheme="minorHAnsi" w:hAnsiTheme="minorHAnsi"/>
        </w:rPr>
        <w:t xml:space="preserve"> </w:t>
      </w:r>
      <w:proofErr w:type="spellStart"/>
      <w:r w:rsidR="00D050CB" w:rsidRPr="00D050CB">
        <w:rPr>
          <w:rFonts w:asciiTheme="minorHAnsi" w:hAnsiTheme="minorHAnsi"/>
        </w:rPr>
        <w:t>i</w:t>
      </w:r>
      <w:proofErr w:type="spellEnd"/>
      <w:r w:rsidR="00D050CB" w:rsidRPr="00D050CB">
        <w:rPr>
          <w:rFonts w:asciiTheme="minorHAnsi" w:hAnsiTheme="minorHAnsi"/>
        </w:rPr>
        <w:t xml:space="preserve"> </w:t>
      </w:r>
      <w:proofErr w:type="spellStart"/>
      <w:r w:rsidR="00D050CB" w:rsidRPr="00D050CB">
        <w:rPr>
          <w:rFonts w:asciiTheme="minorHAnsi" w:hAnsiTheme="minorHAnsi"/>
        </w:rPr>
        <w:t>planova</w:t>
      </w:r>
      <w:proofErr w:type="spellEnd"/>
      <w:r w:rsidR="00D050CB" w:rsidRPr="00D050CB">
        <w:rPr>
          <w:rFonts w:asciiTheme="minorHAnsi" w:hAnsiTheme="minorHAnsi"/>
        </w:rPr>
        <w:t xml:space="preserve"> u </w:t>
      </w:r>
      <w:proofErr w:type="spellStart"/>
      <w:r w:rsidR="00D050CB" w:rsidRPr="00D050CB">
        <w:rPr>
          <w:rFonts w:asciiTheme="minorHAnsi" w:hAnsiTheme="minorHAnsi"/>
        </w:rPr>
        <w:t>oblasti</w:t>
      </w:r>
      <w:proofErr w:type="spellEnd"/>
      <w:r w:rsidR="00D050CB" w:rsidRPr="00D050CB">
        <w:rPr>
          <w:rFonts w:asciiTheme="minorHAnsi" w:hAnsiTheme="minorHAnsi"/>
        </w:rPr>
        <w:t xml:space="preserve"> </w:t>
      </w:r>
      <w:proofErr w:type="spellStart"/>
      <w:r w:rsidR="00D050CB" w:rsidRPr="00D050CB">
        <w:rPr>
          <w:rFonts w:asciiTheme="minorHAnsi" w:hAnsiTheme="minorHAnsi"/>
        </w:rPr>
        <w:t>socijalne</w:t>
      </w:r>
      <w:proofErr w:type="spellEnd"/>
      <w:r w:rsidR="00D050CB" w:rsidRPr="00D050CB">
        <w:rPr>
          <w:rFonts w:asciiTheme="minorHAnsi" w:hAnsiTheme="minorHAnsi"/>
        </w:rPr>
        <w:t xml:space="preserve"> </w:t>
      </w:r>
      <w:proofErr w:type="spellStart"/>
      <w:r w:rsidR="00D050CB" w:rsidRPr="00D050CB">
        <w:rPr>
          <w:rFonts w:asciiTheme="minorHAnsi" w:hAnsiTheme="minorHAnsi"/>
        </w:rPr>
        <w:t>zaštite</w:t>
      </w:r>
      <w:proofErr w:type="spellEnd"/>
      <w:r w:rsidR="00D050CB">
        <w:rPr>
          <w:rFonts w:asciiTheme="minorHAnsi" w:hAnsiTheme="minorHAnsi"/>
          <w:lang w:val="sr-Latn-RS"/>
        </w:rPr>
        <w:t xml:space="preserve"> </w:t>
      </w:r>
      <w:r w:rsidR="00087D10">
        <w:rPr>
          <w:rFonts w:asciiTheme="minorHAnsi" w:hAnsiTheme="minorHAnsi"/>
          <w:lang w:val="sr-Latn-RS"/>
        </w:rPr>
        <w:t xml:space="preserve">bi svakako </w:t>
      </w:r>
      <w:r w:rsidR="00BA7D7E">
        <w:rPr>
          <w:rFonts w:asciiTheme="minorHAnsi" w:hAnsiTheme="minorHAnsi"/>
          <w:lang w:val="sr-Latn-RS"/>
        </w:rPr>
        <w:t>omogućila sveobuhvatnije sagledavanje problema, utvrđivanje prioriteta  i praćenje napretka.</w:t>
      </w:r>
    </w:p>
    <w:p w14:paraId="378E0F2D" w14:textId="5FE8F010" w:rsidR="001054FE" w:rsidRDefault="001054FE" w:rsidP="001054FE">
      <w:pPr>
        <w:jc w:val="both"/>
        <w:rPr>
          <w:rFonts w:asciiTheme="minorHAnsi" w:hAnsiTheme="minorHAnsi"/>
          <w:lang w:val="sr-Latn-RS"/>
        </w:rPr>
      </w:pPr>
    </w:p>
    <w:p w14:paraId="064E70EE" w14:textId="77777777" w:rsidR="001054FE" w:rsidRPr="00D050CB" w:rsidRDefault="001054FE" w:rsidP="001054FE">
      <w:pPr>
        <w:jc w:val="both"/>
        <w:rPr>
          <w:rFonts w:asciiTheme="minorHAnsi" w:hAnsiTheme="minorHAnsi"/>
          <w:lang w:val="sr-Latn-RS"/>
        </w:rPr>
      </w:pPr>
    </w:p>
    <w:p w14:paraId="1751CDD4" w14:textId="71B094A0" w:rsidR="00EB6831" w:rsidRPr="00F5183F" w:rsidRDefault="00EB6831" w:rsidP="00B31AF7">
      <w:pPr>
        <w:jc w:val="center"/>
        <w:rPr>
          <w:rFonts w:asciiTheme="minorHAnsi" w:hAnsiTheme="minorHAnsi" w:cstheme="minorHAnsi"/>
          <w:b/>
          <w:smallCaps/>
          <w:sz w:val="28"/>
          <w:szCs w:val="28"/>
          <w:lang w:val="sr-Latn-RS"/>
        </w:rPr>
      </w:pPr>
      <w:r w:rsidRPr="00F5183F">
        <w:rPr>
          <w:rFonts w:asciiTheme="minorHAnsi" w:hAnsiTheme="minorHAnsi" w:cstheme="minorHAnsi"/>
          <w:b/>
          <w:smallCaps/>
          <w:sz w:val="28"/>
          <w:szCs w:val="28"/>
          <w:lang w:val="sr-Latn-RS"/>
        </w:rPr>
        <w:t>Zdravstvo</w:t>
      </w:r>
    </w:p>
    <w:p w14:paraId="4AC4059F" w14:textId="3EED0A65" w:rsidR="00B31AF7" w:rsidRPr="00F5183F" w:rsidRDefault="00B31AF7" w:rsidP="00B31AF7">
      <w:pPr>
        <w:jc w:val="center"/>
        <w:rPr>
          <w:rFonts w:asciiTheme="minorHAnsi" w:hAnsiTheme="minorHAnsi" w:cstheme="minorHAnsi"/>
          <w:bCs/>
          <w:smallCaps/>
          <w:sz w:val="28"/>
          <w:szCs w:val="28"/>
          <w:lang w:val="sr-Latn-RS"/>
        </w:rPr>
      </w:pPr>
    </w:p>
    <w:p w14:paraId="433F5E70" w14:textId="77777777" w:rsidR="00B31AF7" w:rsidRPr="00F5183F" w:rsidRDefault="00B31AF7" w:rsidP="00B31AF7">
      <w:pPr>
        <w:jc w:val="both"/>
        <w:rPr>
          <w:rFonts w:asciiTheme="minorHAnsi" w:hAnsiTheme="minorHAnsi" w:cstheme="minorHAnsi"/>
          <w:lang w:val="sr-Latn-RS"/>
        </w:rPr>
      </w:pPr>
      <w:r w:rsidRPr="00F5183F">
        <w:rPr>
          <w:rFonts w:asciiTheme="minorHAnsi" w:hAnsiTheme="minorHAnsi" w:cstheme="minorHAnsi"/>
          <w:lang w:val="sr-Latn-RS"/>
        </w:rPr>
        <w:t xml:space="preserve">Zdravstvena zaštita u Srbiji je pretežno u nadležnosti nacionalnog nivoa, pogotovo od donošenja novog Zakona o zdravstvenoj zaštiti 2019. godine, kada i osnivačka prava za ustanove primarne zdravstvene zaštite prelaze sa jedinica lokalne samouprave na Republiku, odnosno autonomnu pokrajinu. Prema novim zakonskim rešenjima jedinice lokalne samouprave ostaju osnivači samo apotekarskih ustanova na svojoj teritoriji. </w:t>
      </w:r>
    </w:p>
    <w:p w14:paraId="7116D1F8" w14:textId="77777777" w:rsidR="00B31AF7" w:rsidRPr="00F5183F" w:rsidRDefault="00B31AF7" w:rsidP="00B31AF7">
      <w:pPr>
        <w:jc w:val="both"/>
        <w:rPr>
          <w:rFonts w:asciiTheme="minorHAnsi" w:hAnsiTheme="minorHAnsi" w:cstheme="minorHAnsi"/>
          <w:lang w:val="sr-Latn-RS"/>
        </w:rPr>
      </w:pPr>
    </w:p>
    <w:p w14:paraId="1381FB6D" w14:textId="5744D63E" w:rsidR="00B31AF7" w:rsidRPr="00F5183F" w:rsidRDefault="00B31AF7" w:rsidP="00B31AF7">
      <w:pPr>
        <w:jc w:val="both"/>
        <w:rPr>
          <w:rFonts w:asciiTheme="minorHAnsi" w:hAnsiTheme="minorHAnsi" w:cstheme="minorHAnsi"/>
          <w:lang w:val="sr-Latn-RS"/>
        </w:rPr>
      </w:pPr>
      <w:r w:rsidRPr="00F5183F">
        <w:rPr>
          <w:rFonts w:asciiTheme="minorHAnsi" w:hAnsiTheme="minorHAnsi" w:cstheme="minorHAnsi"/>
          <w:lang w:val="sr-Latn-RS"/>
        </w:rPr>
        <w:t xml:space="preserve">Društvena briga za zdravlje na nivou JLS </w:t>
      </w:r>
      <w:r w:rsidRPr="00F5183F">
        <w:rPr>
          <w:rStyle w:val="apple-converted-space"/>
          <w:rFonts w:asciiTheme="minorHAnsi" w:hAnsiTheme="minorHAnsi"/>
          <w:color w:val="000000" w:themeColor="text1"/>
          <w:lang w:val="sr-Latn-RS"/>
        </w:rPr>
        <w:t xml:space="preserve"> između ostalog podrazumeva </w:t>
      </w:r>
      <w:r w:rsidRPr="00F5183F">
        <w:rPr>
          <w:rFonts w:asciiTheme="minorHAnsi" w:hAnsiTheme="minorHAnsi"/>
          <w:color w:val="000000" w:themeColor="text1"/>
          <w:lang w:val="sr-Latn-RS"/>
        </w:rPr>
        <w:t>praćenje zdravstvenog stanja stanovništva i rada sistema zdravstvene zaštite,</w:t>
      </w:r>
      <w:r w:rsidRPr="00F5183F">
        <w:rPr>
          <w:rStyle w:val="apple-converted-space"/>
          <w:rFonts w:asciiTheme="minorHAnsi" w:hAnsiTheme="minorHAnsi"/>
          <w:color w:val="000000" w:themeColor="text1"/>
          <w:lang w:val="sr-Latn-RS"/>
        </w:rPr>
        <w:t xml:space="preserve"> kao i </w:t>
      </w:r>
      <w:r w:rsidRPr="00F5183F">
        <w:rPr>
          <w:rFonts w:asciiTheme="minorHAnsi" w:hAnsiTheme="minorHAnsi"/>
          <w:color w:val="000000" w:themeColor="text1"/>
          <w:lang w:val="sr-Latn-RS"/>
        </w:rPr>
        <w:t xml:space="preserve">stvaranje uslova za pristupačnost i ujednačenost korišćenja primarne zdravstvene zaštite. Važan deo </w:t>
      </w:r>
      <w:r w:rsidRPr="00F5183F">
        <w:rPr>
          <w:rStyle w:val="apple-converted-space"/>
          <w:rFonts w:asciiTheme="minorHAnsi" w:hAnsiTheme="minorHAnsi"/>
          <w:color w:val="000000" w:themeColor="text1"/>
          <w:lang w:val="sr-Latn-RS"/>
        </w:rPr>
        <w:t xml:space="preserve">društvene brige za zdravlje na nivou JLS ostaje donošenje i sprovođenje </w:t>
      </w:r>
      <w:r w:rsidRPr="00F5183F">
        <w:rPr>
          <w:rFonts w:asciiTheme="minorHAnsi" w:hAnsiTheme="minorHAnsi"/>
          <w:color w:val="000000" w:themeColor="text1"/>
          <w:lang w:val="sr-Latn-RS"/>
        </w:rPr>
        <w:t xml:space="preserve">programa za očuvanje i zaštitu zdravlja od zagađenja životne sredine, </w:t>
      </w:r>
      <w:r w:rsidR="0006788D" w:rsidRPr="00F5183F">
        <w:rPr>
          <w:rFonts w:asciiTheme="minorHAnsi" w:hAnsiTheme="minorHAnsi"/>
          <w:color w:val="000000" w:themeColor="text1"/>
          <w:lang w:val="sr-Latn-RS"/>
        </w:rPr>
        <w:t>kao i sistematsko ispitivanje ispravnosti i kvaliteta  životnih namirnica, vode za piće i sličnih faktora rizika koji mogu štetno da utiču na zdravlje</w:t>
      </w:r>
      <w:r w:rsidRPr="00F5183F">
        <w:rPr>
          <w:rFonts w:asciiTheme="minorHAnsi" w:hAnsiTheme="minorHAnsi"/>
          <w:color w:val="000000" w:themeColor="text1"/>
          <w:lang w:val="sr-Latn-RS"/>
        </w:rPr>
        <w:t>.</w:t>
      </w:r>
      <w:r w:rsidRPr="00F5183F">
        <w:rPr>
          <w:rStyle w:val="FootnoteReference"/>
          <w:rFonts w:asciiTheme="minorHAnsi" w:hAnsiTheme="minorHAnsi"/>
          <w:color w:val="000000" w:themeColor="text1"/>
          <w:lang w:val="sr-Latn-RS"/>
        </w:rPr>
        <w:footnoteReference w:id="22"/>
      </w:r>
      <w:r w:rsidRPr="00F5183F">
        <w:rPr>
          <w:rFonts w:asciiTheme="minorHAnsi" w:hAnsiTheme="minorHAnsi"/>
          <w:color w:val="000000" w:themeColor="text1"/>
          <w:lang w:val="sr-Latn-RS"/>
        </w:rPr>
        <w:t xml:space="preserve"> JLS obezbeđuju i sredstva za pružanje hitne medicinske pomoći, kao i sredstva za vršenje osnivačkih prava nad </w:t>
      </w:r>
      <w:r w:rsidRPr="00F5183F">
        <w:rPr>
          <w:rFonts w:asciiTheme="minorHAnsi" w:hAnsiTheme="minorHAnsi"/>
          <w:color w:val="000000" w:themeColor="text1"/>
          <w:shd w:val="clear" w:color="auto" w:fill="FFFFFF"/>
          <w:lang w:val="sr-Latn-RS"/>
        </w:rPr>
        <w:t>nad zdravstvenim ustanovama čiji su osnivač</w:t>
      </w:r>
      <w:r w:rsidRPr="00F5183F">
        <w:rPr>
          <w:rStyle w:val="apple-converted-space"/>
          <w:rFonts w:asciiTheme="minorHAnsi" w:hAnsiTheme="minorHAnsi"/>
          <w:color w:val="000000" w:themeColor="text1"/>
          <w:shd w:val="clear" w:color="auto" w:fill="FFFFFF"/>
          <w:lang w:val="sr-Latn-RS"/>
        </w:rPr>
        <w:t> </w:t>
      </w:r>
      <w:r w:rsidRPr="00F5183F">
        <w:rPr>
          <w:rStyle w:val="apple-converted-space"/>
          <w:rFonts w:asciiTheme="minorHAnsi" w:eastAsiaTheme="majorEastAsia" w:hAnsiTheme="minorHAnsi"/>
          <w:color w:val="000000" w:themeColor="text1"/>
          <w:shd w:val="clear" w:color="auto" w:fill="FFFFFF"/>
          <w:lang w:val="sr-Latn-RS"/>
        </w:rPr>
        <w:t>(odnosno apotekama).</w:t>
      </w:r>
      <w:r w:rsidRPr="00F5183F">
        <w:rPr>
          <w:rFonts w:asciiTheme="minorHAnsi" w:hAnsiTheme="minorHAnsi" w:cstheme="minorHAnsi"/>
          <w:lang w:val="sr-Latn-RS"/>
        </w:rPr>
        <w:t xml:space="preserve"> </w:t>
      </w:r>
      <w:r w:rsidRPr="00F5183F">
        <w:rPr>
          <w:rFonts w:asciiTheme="minorHAnsi" w:hAnsiTheme="minorHAnsi"/>
          <w:color w:val="000000" w:themeColor="text1"/>
          <w:lang w:val="sr-Latn-RS"/>
        </w:rPr>
        <w:t>Ukoliko obezbede sredstva u budžetu, opštine i gradovi mogu i dodatno da ulažu u zdravstvene ustanove u javnoj svojini na svojoj teritoriji kako bi se povećala dostupnost i pristupačnost (iznad normativa i standarda koji su predviđeni za prostor, opremu, kadrove…). Jedinica lokalne samouprave obezbeđuje i rad mrtvozorske službe.</w:t>
      </w:r>
    </w:p>
    <w:p w14:paraId="120758F9" w14:textId="77777777" w:rsidR="00B31AF7" w:rsidRPr="00F5183F" w:rsidRDefault="00B31AF7" w:rsidP="00B31AF7">
      <w:pPr>
        <w:jc w:val="both"/>
        <w:rPr>
          <w:rFonts w:asciiTheme="minorHAnsi" w:hAnsiTheme="minorHAnsi" w:cstheme="minorHAnsi"/>
          <w:lang w:val="sr-Latn-RS"/>
        </w:rPr>
      </w:pPr>
    </w:p>
    <w:p w14:paraId="046C8E8A" w14:textId="333FFA12" w:rsidR="00B31AF7" w:rsidRPr="00F5183F" w:rsidRDefault="00977E5E" w:rsidP="00B31AF7">
      <w:pPr>
        <w:jc w:val="both"/>
        <w:rPr>
          <w:rFonts w:asciiTheme="minorHAnsi" w:hAnsiTheme="minorHAnsi" w:cstheme="minorHAnsi"/>
          <w:i/>
          <w:iCs/>
          <w:lang w:val="sr-Latn-RS"/>
        </w:rPr>
      </w:pPr>
      <w:r w:rsidRPr="00F5183F">
        <w:rPr>
          <w:rFonts w:asciiTheme="minorHAnsi" w:hAnsiTheme="minorHAnsi" w:cstheme="minorHAnsi"/>
          <w:b/>
          <w:bCs/>
          <w:i/>
          <w:iCs/>
          <w:lang w:val="sr-Latn-RS"/>
        </w:rPr>
        <w:t>Opština Bač je za zdravstvo izdvojila 11,</w:t>
      </w:r>
      <w:r w:rsidR="0066364B" w:rsidRPr="00F5183F">
        <w:rPr>
          <w:rFonts w:asciiTheme="minorHAnsi" w:hAnsiTheme="minorHAnsi" w:cstheme="minorHAnsi"/>
          <w:b/>
          <w:bCs/>
          <w:i/>
          <w:iCs/>
          <w:lang w:val="sr-Latn-RS"/>
        </w:rPr>
        <w:t>6</w:t>
      </w:r>
      <w:r w:rsidRPr="00F5183F">
        <w:rPr>
          <w:rFonts w:asciiTheme="minorHAnsi" w:hAnsiTheme="minorHAnsi" w:cstheme="minorHAnsi"/>
          <w:b/>
          <w:bCs/>
          <w:i/>
          <w:iCs/>
          <w:lang w:val="sr-Latn-RS"/>
        </w:rPr>
        <w:t xml:space="preserve"> miliona 2019. godine. </w:t>
      </w:r>
      <w:r w:rsidR="00B31AF7" w:rsidRPr="00F5183F">
        <w:rPr>
          <w:rFonts w:asciiTheme="minorHAnsi" w:hAnsiTheme="minorHAnsi" w:cstheme="minorHAnsi"/>
          <w:b/>
          <w:bCs/>
          <w:i/>
          <w:iCs/>
          <w:lang w:val="sr-Latn-RS"/>
        </w:rPr>
        <w:t xml:space="preserve">Udeo rashoda za zdravstvo u </w:t>
      </w:r>
      <w:r w:rsidRPr="00F5183F">
        <w:rPr>
          <w:rFonts w:asciiTheme="minorHAnsi" w:hAnsiTheme="minorHAnsi" w:cstheme="minorHAnsi"/>
          <w:b/>
          <w:bCs/>
          <w:i/>
          <w:iCs/>
          <w:lang w:val="sr-Latn-RS"/>
        </w:rPr>
        <w:t xml:space="preserve">opštinskom </w:t>
      </w:r>
      <w:r w:rsidR="00B31AF7" w:rsidRPr="00F5183F">
        <w:rPr>
          <w:rFonts w:asciiTheme="minorHAnsi" w:hAnsiTheme="minorHAnsi" w:cstheme="minorHAnsi"/>
          <w:b/>
          <w:bCs/>
          <w:i/>
          <w:iCs/>
          <w:lang w:val="sr-Latn-RS"/>
        </w:rPr>
        <w:t xml:space="preserve">budžetu </w:t>
      </w:r>
      <w:r w:rsidRPr="00F5183F">
        <w:rPr>
          <w:rFonts w:asciiTheme="minorHAnsi" w:hAnsiTheme="minorHAnsi" w:cstheme="minorHAnsi"/>
          <w:b/>
          <w:bCs/>
          <w:i/>
          <w:iCs/>
          <w:lang w:val="sr-Latn-RS"/>
        </w:rPr>
        <w:t>j</w:t>
      </w:r>
      <w:r w:rsidR="00B31AF7" w:rsidRPr="00F5183F">
        <w:rPr>
          <w:rFonts w:asciiTheme="minorHAnsi" w:hAnsiTheme="minorHAnsi" w:cstheme="minorHAnsi"/>
          <w:b/>
          <w:bCs/>
          <w:i/>
          <w:iCs/>
          <w:lang w:val="sr-Latn-RS"/>
        </w:rPr>
        <w:t xml:space="preserve">e iznosio </w:t>
      </w:r>
      <w:r w:rsidRPr="00F5183F">
        <w:rPr>
          <w:rFonts w:asciiTheme="minorHAnsi" w:hAnsiTheme="minorHAnsi" w:cstheme="minorHAnsi"/>
          <w:b/>
          <w:bCs/>
          <w:i/>
          <w:iCs/>
          <w:lang w:val="sr-Latn-RS"/>
        </w:rPr>
        <w:t>1,8</w:t>
      </w:r>
      <w:r w:rsidR="00B31AF7" w:rsidRPr="00F5183F">
        <w:rPr>
          <w:rFonts w:asciiTheme="minorHAnsi" w:hAnsiTheme="minorHAnsi" w:cstheme="minorHAnsi"/>
          <w:b/>
          <w:bCs/>
          <w:i/>
          <w:iCs/>
          <w:lang w:val="sr-Latn-RS"/>
        </w:rPr>
        <w:t xml:space="preserve">%  </w:t>
      </w:r>
      <w:r w:rsidRPr="00F5183F">
        <w:rPr>
          <w:rFonts w:asciiTheme="minorHAnsi" w:hAnsiTheme="minorHAnsi" w:cstheme="minorHAnsi"/>
          <w:b/>
          <w:bCs/>
          <w:i/>
          <w:iCs/>
          <w:lang w:val="sr-Latn-RS"/>
        </w:rPr>
        <w:t>znatno iznad</w:t>
      </w:r>
      <w:r w:rsidR="00B31AF7" w:rsidRPr="00F5183F">
        <w:rPr>
          <w:rFonts w:asciiTheme="minorHAnsi" w:hAnsiTheme="minorHAnsi" w:cstheme="minorHAnsi"/>
          <w:b/>
          <w:bCs/>
          <w:i/>
          <w:iCs/>
          <w:lang w:val="sr-Latn-RS"/>
        </w:rPr>
        <w:t xml:space="preserve">  proseka izdvajanja opština i gradova za ove namene u Srbiji (1,0%).</w:t>
      </w:r>
      <w:r w:rsidR="00B31AF7" w:rsidRPr="00F5183F">
        <w:rPr>
          <w:rFonts w:asciiTheme="minorHAnsi" w:hAnsiTheme="minorHAnsi" w:cstheme="minorHAnsi"/>
          <w:b/>
          <w:bCs/>
          <w:lang w:val="sr-Latn-RS"/>
        </w:rPr>
        <w:t xml:space="preserve"> </w:t>
      </w:r>
      <w:r w:rsidR="00B31AF7" w:rsidRPr="00F5183F">
        <w:rPr>
          <w:rFonts w:asciiTheme="minorHAnsi" w:hAnsiTheme="minorHAnsi" w:cstheme="minorHAnsi"/>
          <w:lang w:val="sr-Latn-RS"/>
        </w:rPr>
        <w:t>U ranijim godinama ova izdvajanja su bila manja</w:t>
      </w:r>
      <w:r w:rsidR="003A767F" w:rsidRPr="00F5183F">
        <w:rPr>
          <w:rFonts w:asciiTheme="minorHAnsi" w:hAnsiTheme="minorHAnsi" w:cstheme="minorHAnsi"/>
          <w:lang w:val="sr-Latn-RS"/>
        </w:rPr>
        <w:t>, a u proseku je udeo za zdravstvenu zaštitu poslednjih 5 godina iznosio 1,0%</w:t>
      </w:r>
      <w:r w:rsidR="00683AA3" w:rsidRPr="00F5183F">
        <w:rPr>
          <w:rFonts w:asciiTheme="minorHAnsi" w:hAnsiTheme="minorHAnsi" w:cstheme="minorHAnsi"/>
          <w:lang w:val="sr-Latn-RS"/>
        </w:rPr>
        <w:t>.</w:t>
      </w:r>
    </w:p>
    <w:p w14:paraId="0ED7B5F7" w14:textId="77777777" w:rsidR="00B31AF7" w:rsidRPr="00F5183F" w:rsidRDefault="00B31AF7" w:rsidP="00D94FAA">
      <w:pPr>
        <w:rPr>
          <w:rFonts w:asciiTheme="minorHAnsi" w:hAnsiTheme="minorHAnsi" w:cstheme="minorHAnsi"/>
          <w:b/>
          <w:smallCaps/>
          <w:sz w:val="28"/>
          <w:szCs w:val="28"/>
          <w:lang w:val="sr-Latn-RS"/>
        </w:rPr>
      </w:pPr>
    </w:p>
    <w:p w14:paraId="72AAD345" w14:textId="6F45B33A" w:rsidR="005A30AD" w:rsidRPr="00F5183F" w:rsidRDefault="005A30AD" w:rsidP="0044328D">
      <w:pPr>
        <w:jc w:val="both"/>
        <w:rPr>
          <w:rFonts w:asciiTheme="minorHAnsi" w:hAnsiTheme="minorHAnsi" w:cstheme="minorHAnsi"/>
          <w:lang w:val="sr-Latn-RS"/>
        </w:rPr>
      </w:pPr>
      <w:r w:rsidRPr="00F5183F">
        <w:rPr>
          <w:rFonts w:asciiTheme="minorHAnsi" w:hAnsiTheme="minorHAnsi" w:cstheme="minorHAnsi"/>
          <w:b/>
          <w:i/>
          <w:lang w:val="sr-Latn-RS"/>
        </w:rPr>
        <w:t>Kapcitet</w:t>
      </w:r>
      <w:r w:rsidR="0044328D" w:rsidRPr="00F5183F">
        <w:rPr>
          <w:rFonts w:asciiTheme="minorHAnsi" w:hAnsiTheme="minorHAnsi" w:cstheme="minorHAnsi"/>
          <w:b/>
          <w:i/>
          <w:lang w:val="sr-Latn-RS"/>
        </w:rPr>
        <w:t>i</w:t>
      </w:r>
      <w:r w:rsidRPr="00F5183F">
        <w:rPr>
          <w:rFonts w:asciiTheme="minorHAnsi" w:hAnsiTheme="minorHAnsi" w:cstheme="minorHAnsi"/>
          <w:b/>
          <w:i/>
          <w:lang w:val="sr-Latn-RS"/>
        </w:rPr>
        <w:t xml:space="preserve"> zdravstvene zaštite </w:t>
      </w:r>
      <w:r w:rsidR="0044328D" w:rsidRPr="00F5183F">
        <w:rPr>
          <w:rFonts w:asciiTheme="minorHAnsi" w:hAnsiTheme="minorHAnsi" w:cstheme="minorHAnsi"/>
          <w:b/>
          <w:i/>
          <w:lang w:val="sr-Latn-RS"/>
        </w:rPr>
        <w:t xml:space="preserve">iskazani preko </w:t>
      </w:r>
      <w:r w:rsidRPr="00F5183F">
        <w:rPr>
          <w:rFonts w:asciiTheme="minorHAnsi" w:hAnsiTheme="minorHAnsi" w:cstheme="minorHAnsi"/>
          <w:b/>
          <w:i/>
          <w:lang w:val="sr-Latn-RS"/>
        </w:rPr>
        <w:t xml:space="preserve">broja lekara </w:t>
      </w:r>
      <w:r w:rsidR="0044328D" w:rsidRPr="00F5183F">
        <w:rPr>
          <w:rFonts w:asciiTheme="minorHAnsi" w:hAnsiTheme="minorHAnsi" w:cstheme="minorHAnsi"/>
          <w:b/>
          <w:i/>
          <w:lang w:val="sr-Latn-RS"/>
        </w:rPr>
        <w:t xml:space="preserve">u primarnoj zadravstvenoj zaštiti na </w:t>
      </w:r>
      <w:r w:rsidRPr="00F5183F">
        <w:rPr>
          <w:rFonts w:asciiTheme="minorHAnsi" w:hAnsiTheme="minorHAnsi" w:cstheme="minorHAnsi"/>
          <w:b/>
          <w:i/>
          <w:lang w:val="sr-Latn-RS"/>
        </w:rPr>
        <w:t xml:space="preserve">1000 stanovnika je u </w:t>
      </w:r>
      <w:r w:rsidR="0044328D" w:rsidRPr="00F5183F">
        <w:rPr>
          <w:rFonts w:asciiTheme="minorHAnsi" w:hAnsiTheme="minorHAnsi" w:cstheme="minorHAnsi"/>
          <w:b/>
          <w:i/>
          <w:lang w:val="sr-Latn-RS"/>
        </w:rPr>
        <w:t>Baču ne zaostaju u odnosu na  prosek Srbije, osim u oblasti stomatološke zaštite dece i omladine.</w:t>
      </w:r>
      <w:r w:rsidRPr="00F5183F">
        <w:rPr>
          <w:rFonts w:asciiTheme="minorHAnsi" w:hAnsiTheme="minorHAnsi" w:cstheme="minorHAnsi"/>
          <w:b/>
          <w:i/>
          <w:lang w:val="sr-Latn-RS"/>
        </w:rPr>
        <w:t xml:space="preserve"> </w:t>
      </w:r>
    </w:p>
    <w:p w14:paraId="0CFF1030" w14:textId="77777777" w:rsidR="005A30AD" w:rsidRPr="00F5183F" w:rsidRDefault="005A30AD">
      <w:pPr>
        <w:rPr>
          <w:rFonts w:asciiTheme="minorHAnsi" w:hAnsiTheme="minorHAnsi" w:cstheme="minorHAnsi"/>
          <w:b/>
          <w:smallCaps/>
          <w:lang w:val="sr-Latn-RS"/>
        </w:rPr>
      </w:pPr>
    </w:p>
    <w:p w14:paraId="67863B46" w14:textId="4146D352" w:rsidR="005A30AD" w:rsidRPr="00F5183F" w:rsidRDefault="005A30AD">
      <w:pPr>
        <w:rPr>
          <w:rFonts w:asciiTheme="minorHAnsi" w:hAnsiTheme="minorHAnsi" w:cstheme="minorHAnsi"/>
          <w:bCs/>
          <w:lang w:val="sr-Latn-RS"/>
        </w:rPr>
      </w:pPr>
      <w:r w:rsidRPr="00F5183F">
        <w:rPr>
          <w:rFonts w:asciiTheme="minorHAnsi" w:hAnsiTheme="minorHAnsi" w:cstheme="minorHAnsi"/>
          <w:bCs/>
          <w:lang w:val="sr-Latn-RS"/>
        </w:rPr>
        <w:t xml:space="preserve">Tabela </w:t>
      </w:r>
      <w:r w:rsidR="00994EF9" w:rsidRPr="00F5183F">
        <w:rPr>
          <w:rFonts w:asciiTheme="minorHAnsi" w:hAnsiTheme="minorHAnsi" w:cstheme="minorHAnsi"/>
          <w:bCs/>
          <w:lang w:val="sr-Latn-RS"/>
        </w:rPr>
        <w:t>8</w:t>
      </w:r>
      <w:r w:rsidRPr="00F5183F">
        <w:rPr>
          <w:rFonts w:asciiTheme="minorHAnsi" w:hAnsiTheme="minorHAnsi" w:cstheme="minorHAnsi"/>
          <w:bCs/>
          <w:lang w:val="sr-Latn-RS"/>
        </w:rPr>
        <w:t xml:space="preserve">. Broj lekara </w:t>
      </w:r>
      <w:r w:rsidR="003D15E5" w:rsidRPr="00F5183F">
        <w:rPr>
          <w:rFonts w:asciiTheme="minorHAnsi" w:hAnsiTheme="minorHAnsi" w:cstheme="minorHAnsi"/>
          <w:bCs/>
          <w:lang w:val="sr-Latn-RS"/>
        </w:rPr>
        <w:t xml:space="preserve">u primarnoj zdravstvenoj zaštiti </w:t>
      </w:r>
      <w:r w:rsidRPr="00F5183F">
        <w:rPr>
          <w:rFonts w:asciiTheme="minorHAnsi" w:hAnsiTheme="minorHAnsi" w:cstheme="minorHAnsi"/>
          <w:bCs/>
          <w:lang w:val="sr-Latn-RS"/>
        </w:rPr>
        <w:t>na 1000 stanovnika, 201</w:t>
      </w:r>
      <w:r w:rsidR="00FF3496" w:rsidRPr="00F5183F">
        <w:rPr>
          <w:rFonts w:asciiTheme="minorHAnsi" w:hAnsiTheme="minorHAnsi" w:cstheme="minorHAnsi"/>
          <w:bCs/>
          <w:lang w:val="sr-Latn-RS"/>
        </w:rPr>
        <w:t>8.</w:t>
      </w:r>
      <w:r w:rsidR="007A41FE" w:rsidRPr="00F5183F">
        <w:rPr>
          <w:rFonts w:asciiTheme="minorHAnsi" w:hAnsiTheme="minorHAnsi" w:cstheme="minorHAnsi"/>
          <w:bCs/>
          <w:lang w:val="sr-Latn-RS"/>
        </w:rPr>
        <w:t xml:space="preserve"> (‰)</w:t>
      </w:r>
    </w:p>
    <w:tbl>
      <w:tblPr>
        <w:tblW w:w="5000" w:type="pct"/>
        <w:tblLook w:val="04A0" w:firstRow="1" w:lastRow="0" w:firstColumn="1" w:lastColumn="0" w:noHBand="0" w:noVBand="1"/>
      </w:tblPr>
      <w:tblGrid>
        <w:gridCol w:w="5588"/>
        <w:gridCol w:w="1887"/>
        <w:gridCol w:w="1885"/>
      </w:tblGrid>
      <w:tr w:rsidR="005A30AD" w:rsidRPr="00F5183F" w14:paraId="6C482F6F" w14:textId="77777777" w:rsidTr="00FC6D80">
        <w:trPr>
          <w:trHeight w:val="320"/>
        </w:trPr>
        <w:tc>
          <w:tcPr>
            <w:tcW w:w="2985" w:type="pct"/>
            <w:tcBorders>
              <w:top w:val="single" w:sz="4" w:space="0" w:color="auto"/>
              <w:left w:val="nil"/>
              <w:bottom w:val="single" w:sz="4" w:space="0" w:color="auto"/>
              <w:right w:val="nil"/>
            </w:tcBorders>
            <w:shd w:val="clear" w:color="auto" w:fill="auto"/>
            <w:noWrap/>
            <w:vAlign w:val="bottom"/>
            <w:hideMark/>
          </w:tcPr>
          <w:p w14:paraId="0E02EA8B" w14:textId="77777777" w:rsidR="005A30AD" w:rsidRPr="00F5183F" w:rsidRDefault="005A30AD">
            <w:pPr>
              <w:rPr>
                <w:rFonts w:asciiTheme="minorHAnsi" w:hAnsiTheme="minorHAnsi" w:cstheme="minorHAnsi"/>
                <w:color w:val="000000"/>
                <w:lang w:val="sr-Latn-RS"/>
              </w:rPr>
            </w:pPr>
            <w:r w:rsidRPr="00F5183F">
              <w:rPr>
                <w:rFonts w:asciiTheme="minorHAnsi" w:hAnsiTheme="minorHAnsi" w:cstheme="minorHAnsi"/>
                <w:color w:val="000000"/>
                <w:lang w:val="sr-Latn-RS"/>
              </w:rPr>
              <w:t> </w:t>
            </w:r>
          </w:p>
        </w:tc>
        <w:tc>
          <w:tcPr>
            <w:tcW w:w="1008" w:type="pct"/>
            <w:tcBorders>
              <w:top w:val="single" w:sz="4" w:space="0" w:color="auto"/>
              <w:left w:val="nil"/>
              <w:bottom w:val="single" w:sz="4" w:space="0" w:color="auto"/>
              <w:right w:val="nil"/>
            </w:tcBorders>
            <w:shd w:val="clear" w:color="auto" w:fill="auto"/>
            <w:noWrap/>
            <w:vAlign w:val="center"/>
            <w:hideMark/>
          </w:tcPr>
          <w:p w14:paraId="20EC7E49" w14:textId="2BED0B6C" w:rsidR="005A30AD" w:rsidRPr="00F5183F" w:rsidRDefault="00FF3496">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Bač</w:t>
            </w:r>
          </w:p>
        </w:tc>
        <w:tc>
          <w:tcPr>
            <w:tcW w:w="1007" w:type="pct"/>
            <w:tcBorders>
              <w:top w:val="single" w:sz="4" w:space="0" w:color="auto"/>
              <w:left w:val="nil"/>
              <w:bottom w:val="single" w:sz="4" w:space="0" w:color="auto"/>
              <w:right w:val="nil"/>
            </w:tcBorders>
            <w:shd w:val="clear" w:color="auto" w:fill="auto"/>
            <w:noWrap/>
            <w:vAlign w:val="center"/>
            <w:hideMark/>
          </w:tcPr>
          <w:p w14:paraId="2BB57B4E" w14:textId="60A1C084" w:rsidR="005A30AD" w:rsidRPr="00F5183F" w:rsidRDefault="008900C0">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 xml:space="preserve">Republika </w:t>
            </w:r>
            <w:r w:rsidR="005A30AD" w:rsidRPr="00F5183F">
              <w:rPr>
                <w:rFonts w:asciiTheme="minorHAnsi" w:hAnsiTheme="minorHAnsi" w:cstheme="minorHAnsi"/>
                <w:color w:val="000000"/>
                <w:lang w:val="sr-Latn-RS"/>
              </w:rPr>
              <w:t>Srbija</w:t>
            </w:r>
          </w:p>
        </w:tc>
      </w:tr>
      <w:tr w:rsidR="005A30AD" w:rsidRPr="00F5183F" w14:paraId="2CBEB978" w14:textId="77777777" w:rsidTr="00FC6D80">
        <w:trPr>
          <w:trHeight w:val="320"/>
        </w:trPr>
        <w:tc>
          <w:tcPr>
            <w:tcW w:w="2985" w:type="pct"/>
            <w:tcBorders>
              <w:top w:val="nil"/>
              <w:left w:val="nil"/>
              <w:bottom w:val="nil"/>
              <w:right w:val="nil"/>
            </w:tcBorders>
            <w:shd w:val="clear" w:color="auto" w:fill="auto"/>
            <w:noWrap/>
            <w:vAlign w:val="center"/>
            <w:hideMark/>
          </w:tcPr>
          <w:p w14:paraId="285095D5" w14:textId="77777777" w:rsidR="005A30AD" w:rsidRPr="00F5183F" w:rsidRDefault="005A30AD">
            <w:pPr>
              <w:rPr>
                <w:rFonts w:asciiTheme="minorHAnsi" w:hAnsiTheme="minorHAnsi" w:cstheme="minorHAnsi"/>
                <w:lang w:val="sr-Latn-RS"/>
              </w:rPr>
            </w:pPr>
            <w:r w:rsidRPr="00F5183F">
              <w:rPr>
                <w:rFonts w:asciiTheme="minorHAnsi" w:hAnsiTheme="minorHAnsi" w:cstheme="minorHAnsi"/>
                <w:lang w:val="sr-Latn-RS"/>
              </w:rPr>
              <w:t xml:space="preserve">Zdravstvena zaštita dece </w:t>
            </w:r>
          </w:p>
        </w:tc>
        <w:tc>
          <w:tcPr>
            <w:tcW w:w="1008" w:type="pct"/>
            <w:tcBorders>
              <w:top w:val="nil"/>
              <w:left w:val="nil"/>
              <w:bottom w:val="nil"/>
              <w:right w:val="nil"/>
            </w:tcBorders>
            <w:shd w:val="clear" w:color="auto" w:fill="auto"/>
            <w:noWrap/>
            <w:vAlign w:val="bottom"/>
            <w:hideMark/>
          </w:tcPr>
          <w:p w14:paraId="3690E46C" w14:textId="3B7873D7" w:rsidR="005A30AD" w:rsidRPr="00F5183F" w:rsidRDefault="00FF3496">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1,3</w:t>
            </w:r>
          </w:p>
        </w:tc>
        <w:tc>
          <w:tcPr>
            <w:tcW w:w="1007" w:type="pct"/>
            <w:tcBorders>
              <w:top w:val="nil"/>
              <w:left w:val="nil"/>
              <w:bottom w:val="nil"/>
              <w:right w:val="nil"/>
            </w:tcBorders>
            <w:shd w:val="clear" w:color="auto" w:fill="auto"/>
            <w:noWrap/>
            <w:vAlign w:val="bottom"/>
            <w:hideMark/>
          </w:tcPr>
          <w:p w14:paraId="6F97C71E" w14:textId="23E8852A" w:rsidR="005A30AD" w:rsidRPr="00F5183F" w:rsidRDefault="005A30AD">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1</w:t>
            </w:r>
            <w:r w:rsidR="00A567F9" w:rsidRPr="00F5183F">
              <w:rPr>
                <w:rFonts w:asciiTheme="minorHAnsi" w:hAnsiTheme="minorHAnsi" w:cstheme="minorHAnsi"/>
                <w:color w:val="000000"/>
                <w:lang w:val="sr-Latn-RS"/>
              </w:rPr>
              <w:t>,</w:t>
            </w:r>
            <w:r w:rsidRPr="00F5183F">
              <w:rPr>
                <w:rFonts w:asciiTheme="minorHAnsi" w:hAnsiTheme="minorHAnsi" w:cstheme="minorHAnsi"/>
                <w:color w:val="000000"/>
                <w:lang w:val="sr-Latn-RS"/>
              </w:rPr>
              <w:t>5</w:t>
            </w:r>
          </w:p>
        </w:tc>
      </w:tr>
      <w:tr w:rsidR="005A30AD" w:rsidRPr="00F5183F" w14:paraId="6F795048" w14:textId="77777777" w:rsidTr="00FC6D80">
        <w:trPr>
          <w:trHeight w:val="320"/>
        </w:trPr>
        <w:tc>
          <w:tcPr>
            <w:tcW w:w="2985" w:type="pct"/>
            <w:tcBorders>
              <w:top w:val="nil"/>
              <w:left w:val="nil"/>
              <w:bottom w:val="nil"/>
              <w:right w:val="nil"/>
            </w:tcBorders>
            <w:shd w:val="clear" w:color="auto" w:fill="auto"/>
            <w:noWrap/>
            <w:vAlign w:val="center"/>
            <w:hideMark/>
          </w:tcPr>
          <w:p w14:paraId="2BDDF5E7" w14:textId="77777777" w:rsidR="005A30AD" w:rsidRPr="00F5183F" w:rsidRDefault="005A30AD">
            <w:pPr>
              <w:rPr>
                <w:rFonts w:asciiTheme="minorHAnsi" w:hAnsiTheme="minorHAnsi" w:cstheme="minorHAnsi"/>
                <w:lang w:val="sr-Latn-RS"/>
              </w:rPr>
            </w:pPr>
            <w:r w:rsidRPr="00F5183F">
              <w:rPr>
                <w:rFonts w:asciiTheme="minorHAnsi" w:hAnsiTheme="minorHAnsi" w:cstheme="minorHAnsi"/>
                <w:lang w:val="sr-Latn-RS"/>
              </w:rPr>
              <w:t xml:space="preserve">Zdravstvena zaštita žena </w:t>
            </w:r>
          </w:p>
        </w:tc>
        <w:tc>
          <w:tcPr>
            <w:tcW w:w="1008" w:type="pct"/>
            <w:tcBorders>
              <w:top w:val="nil"/>
              <w:left w:val="nil"/>
              <w:bottom w:val="nil"/>
              <w:right w:val="nil"/>
            </w:tcBorders>
            <w:shd w:val="clear" w:color="auto" w:fill="auto"/>
            <w:noWrap/>
            <w:vAlign w:val="bottom"/>
            <w:hideMark/>
          </w:tcPr>
          <w:p w14:paraId="7D2F796E" w14:textId="09FA9A83" w:rsidR="005A30AD" w:rsidRPr="00F5183F" w:rsidRDefault="005A30AD">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0</w:t>
            </w:r>
            <w:r w:rsidR="00A567F9" w:rsidRPr="00F5183F">
              <w:rPr>
                <w:rFonts w:asciiTheme="minorHAnsi" w:hAnsiTheme="minorHAnsi" w:cstheme="minorHAnsi"/>
                <w:color w:val="000000"/>
                <w:lang w:val="sr-Latn-RS"/>
              </w:rPr>
              <w:t>,</w:t>
            </w:r>
            <w:r w:rsidR="007A41FE" w:rsidRPr="00F5183F">
              <w:rPr>
                <w:rFonts w:asciiTheme="minorHAnsi" w:hAnsiTheme="minorHAnsi" w:cstheme="minorHAnsi"/>
                <w:color w:val="000000"/>
                <w:lang w:val="sr-Latn-RS"/>
              </w:rPr>
              <w:t>2</w:t>
            </w:r>
          </w:p>
        </w:tc>
        <w:tc>
          <w:tcPr>
            <w:tcW w:w="1007" w:type="pct"/>
            <w:tcBorders>
              <w:top w:val="nil"/>
              <w:left w:val="nil"/>
              <w:bottom w:val="nil"/>
              <w:right w:val="nil"/>
            </w:tcBorders>
            <w:shd w:val="clear" w:color="auto" w:fill="auto"/>
            <w:noWrap/>
            <w:vAlign w:val="bottom"/>
            <w:hideMark/>
          </w:tcPr>
          <w:p w14:paraId="21525AFD" w14:textId="00E7141A" w:rsidR="005A30AD" w:rsidRPr="00F5183F" w:rsidRDefault="005A30AD">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0</w:t>
            </w:r>
            <w:r w:rsidR="00A567F9" w:rsidRPr="00F5183F">
              <w:rPr>
                <w:rFonts w:asciiTheme="minorHAnsi" w:hAnsiTheme="minorHAnsi" w:cstheme="minorHAnsi"/>
                <w:color w:val="000000"/>
                <w:lang w:val="sr-Latn-RS"/>
              </w:rPr>
              <w:t>,</w:t>
            </w:r>
            <w:r w:rsidR="007A41FE" w:rsidRPr="00F5183F">
              <w:rPr>
                <w:rFonts w:asciiTheme="minorHAnsi" w:hAnsiTheme="minorHAnsi" w:cstheme="minorHAnsi"/>
                <w:color w:val="000000"/>
                <w:lang w:val="sr-Latn-RS"/>
              </w:rPr>
              <w:t>2</w:t>
            </w:r>
          </w:p>
        </w:tc>
      </w:tr>
      <w:tr w:rsidR="005A30AD" w:rsidRPr="00F5183F" w14:paraId="0345DFBC" w14:textId="77777777" w:rsidTr="00FC6D80">
        <w:trPr>
          <w:trHeight w:val="320"/>
        </w:trPr>
        <w:tc>
          <w:tcPr>
            <w:tcW w:w="2985" w:type="pct"/>
            <w:tcBorders>
              <w:top w:val="nil"/>
              <w:left w:val="nil"/>
              <w:bottom w:val="nil"/>
              <w:right w:val="nil"/>
            </w:tcBorders>
            <w:shd w:val="clear" w:color="auto" w:fill="auto"/>
            <w:noWrap/>
            <w:vAlign w:val="center"/>
            <w:hideMark/>
          </w:tcPr>
          <w:p w14:paraId="1C09D916" w14:textId="77777777" w:rsidR="005A30AD" w:rsidRPr="00F5183F" w:rsidRDefault="005A30AD">
            <w:pPr>
              <w:rPr>
                <w:rFonts w:asciiTheme="minorHAnsi" w:hAnsiTheme="minorHAnsi" w:cstheme="minorHAnsi"/>
                <w:lang w:val="sr-Latn-RS"/>
              </w:rPr>
            </w:pPr>
            <w:r w:rsidRPr="00F5183F">
              <w:rPr>
                <w:rFonts w:asciiTheme="minorHAnsi" w:hAnsiTheme="minorHAnsi" w:cstheme="minorHAnsi"/>
                <w:lang w:val="sr-Latn-RS"/>
              </w:rPr>
              <w:t xml:space="preserve">Zdravstvena zaštita odraslog stanovništva </w:t>
            </w:r>
          </w:p>
        </w:tc>
        <w:tc>
          <w:tcPr>
            <w:tcW w:w="1008" w:type="pct"/>
            <w:tcBorders>
              <w:top w:val="nil"/>
              <w:left w:val="nil"/>
              <w:bottom w:val="nil"/>
              <w:right w:val="nil"/>
            </w:tcBorders>
            <w:shd w:val="clear" w:color="auto" w:fill="auto"/>
            <w:noWrap/>
            <w:vAlign w:val="bottom"/>
            <w:hideMark/>
          </w:tcPr>
          <w:p w14:paraId="40D9EF71" w14:textId="05735CFB" w:rsidR="005A30AD" w:rsidRPr="00F5183F" w:rsidRDefault="005A30AD">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1</w:t>
            </w:r>
            <w:r w:rsidR="00A567F9" w:rsidRPr="00F5183F">
              <w:rPr>
                <w:rFonts w:asciiTheme="minorHAnsi" w:hAnsiTheme="minorHAnsi" w:cstheme="minorHAnsi"/>
                <w:color w:val="000000"/>
                <w:lang w:val="sr-Latn-RS"/>
              </w:rPr>
              <w:t>,</w:t>
            </w:r>
            <w:r w:rsidR="007A41FE" w:rsidRPr="00F5183F">
              <w:rPr>
                <w:rFonts w:asciiTheme="minorHAnsi" w:hAnsiTheme="minorHAnsi" w:cstheme="minorHAnsi"/>
                <w:color w:val="000000"/>
                <w:lang w:val="sr-Latn-RS"/>
              </w:rPr>
              <w:t>0</w:t>
            </w:r>
          </w:p>
        </w:tc>
        <w:tc>
          <w:tcPr>
            <w:tcW w:w="1007" w:type="pct"/>
            <w:tcBorders>
              <w:top w:val="nil"/>
              <w:left w:val="nil"/>
              <w:bottom w:val="nil"/>
              <w:right w:val="nil"/>
            </w:tcBorders>
            <w:shd w:val="clear" w:color="auto" w:fill="auto"/>
            <w:noWrap/>
            <w:vAlign w:val="bottom"/>
            <w:hideMark/>
          </w:tcPr>
          <w:p w14:paraId="03C3A2B6" w14:textId="5E2D9B4C" w:rsidR="005A30AD" w:rsidRPr="00F5183F" w:rsidRDefault="005A30AD">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0</w:t>
            </w:r>
            <w:r w:rsidR="00A567F9" w:rsidRPr="00F5183F">
              <w:rPr>
                <w:rFonts w:asciiTheme="minorHAnsi" w:hAnsiTheme="minorHAnsi" w:cstheme="minorHAnsi"/>
                <w:color w:val="000000"/>
                <w:lang w:val="sr-Latn-RS"/>
              </w:rPr>
              <w:t>,</w:t>
            </w:r>
            <w:r w:rsidRPr="00F5183F">
              <w:rPr>
                <w:rFonts w:asciiTheme="minorHAnsi" w:hAnsiTheme="minorHAnsi" w:cstheme="minorHAnsi"/>
                <w:color w:val="000000"/>
                <w:lang w:val="sr-Latn-RS"/>
              </w:rPr>
              <w:t>7</w:t>
            </w:r>
          </w:p>
        </w:tc>
      </w:tr>
      <w:tr w:rsidR="005A30AD" w:rsidRPr="00F5183F" w14:paraId="1CC0BE8C" w14:textId="77777777" w:rsidTr="00FC6D80">
        <w:trPr>
          <w:trHeight w:val="320"/>
        </w:trPr>
        <w:tc>
          <w:tcPr>
            <w:tcW w:w="2985" w:type="pct"/>
            <w:tcBorders>
              <w:top w:val="nil"/>
              <w:left w:val="nil"/>
              <w:bottom w:val="single" w:sz="4" w:space="0" w:color="auto"/>
              <w:right w:val="nil"/>
            </w:tcBorders>
            <w:shd w:val="clear" w:color="auto" w:fill="auto"/>
            <w:noWrap/>
            <w:vAlign w:val="center"/>
            <w:hideMark/>
          </w:tcPr>
          <w:p w14:paraId="24DBCC01" w14:textId="77777777" w:rsidR="005A30AD" w:rsidRPr="00F5183F" w:rsidRDefault="005A30AD">
            <w:pPr>
              <w:rPr>
                <w:rFonts w:asciiTheme="minorHAnsi" w:hAnsiTheme="minorHAnsi" w:cstheme="minorHAnsi"/>
                <w:lang w:val="sr-Latn-RS"/>
              </w:rPr>
            </w:pPr>
            <w:r w:rsidRPr="00F5183F">
              <w:rPr>
                <w:rFonts w:asciiTheme="minorHAnsi" w:hAnsiTheme="minorHAnsi" w:cstheme="minorHAnsi"/>
                <w:lang w:val="sr-Latn-RS"/>
              </w:rPr>
              <w:t xml:space="preserve">Stomatološka zaštita dece i omladine </w:t>
            </w:r>
          </w:p>
        </w:tc>
        <w:tc>
          <w:tcPr>
            <w:tcW w:w="1008" w:type="pct"/>
            <w:tcBorders>
              <w:top w:val="nil"/>
              <w:left w:val="nil"/>
              <w:bottom w:val="single" w:sz="4" w:space="0" w:color="auto"/>
              <w:right w:val="nil"/>
            </w:tcBorders>
            <w:shd w:val="clear" w:color="auto" w:fill="auto"/>
            <w:noWrap/>
            <w:vAlign w:val="bottom"/>
            <w:hideMark/>
          </w:tcPr>
          <w:p w14:paraId="1F2DF95D" w14:textId="783EC69F" w:rsidR="005A30AD" w:rsidRPr="00F5183F" w:rsidRDefault="007A41FE">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0</w:t>
            </w:r>
          </w:p>
        </w:tc>
        <w:tc>
          <w:tcPr>
            <w:tcW w:w="1007" w:type="pct"/>
            <w:tcBorders>
              <w:top w:val="nil"/>
              <w:left w:val="nil"/>
              <w:bottom w:val="single" w:sz="4" w:space="0" w:color="auto"/>
              <w:right w:val="nil"/>
            </w:tcBorders>
            <w:shd w:val="clear" w:color="auto" w:fill="auto"/>
            <w:noWrap/>
            <w:vAlign w:val="bottom"/>
            <w:hideMark/>
          </w:tcPr>
          <w:p w14:paraId="41C424B3" w14:textId="5090AE6B" w:rsidR="005A30AD" w:rsidRPr="00F5183F" w:rsidRDefault="005A30AD">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0</w:t>
            </w:r>
            <w:r w:rsidR="00A567F9" w:rsidRPr="00F5183F">
              <w:rPr>
                <w:rFonts w:asciiTheme="minorHAnsi" w:hAnsiTheme="minorHAnsi" w:cstheme="minorHAnsi"/>
                <w:color w:val="000000"/>
                <w:lang w:val="sr-Latn-RS"/>
              </w:rPr>
              <w:t>,</w:t>
            </w:r>
            <w:r w:rsidRPr="00F5183F">
              <w:rPr>
                <w:rFonts w:asciiTheme="minorHAnsi" w:hAnsiTheme="minorHAnsi" w:cstheme="minorHAnsi"/>
                <w:color w:val="000000"/>
                <w:lang w:val="sr-Latn-RS"/>
              </w:rPr>
              <w:t>7</w:t>
            </w:r>
          </w:p>
        </w:tc>
      </w:tr>
    </w:tbl>
    <w:p w14:paraId="28C57E3A" w14:textId="77777777" w:rsidR="00FC6D80" w:rsidRPr="00F5183F" w:rsidRDefault="00FC6D80" w:rsidP="00FC6D80">
      <w:pPr>
        <w:rPr>
          <w:rFonts w:asciiTheme="minorHAnsi" w:hAnsiTheme="minorHAnsi" w:cstheme="minorHAnsi"/>
          <w:sz w:val="20"/>
          <w:szCs w:val="20"/>
          <w:lang w:val="sr-Latn-RS"/>
        </w:rPr>
      </w:pPr>
      <w:r w:rsidRPr="00F5183F">
        <w:rPr>
          <w:rFonts w:asciiTheme="minorHAnsi" w:hAnsiTheme="minorHAnsi" w:cstheme="minorHAnsi"/>
          <w:sz w:val="20"/>
          <w:szCs w:val="20"/>
          <w:lang w:val="sr-Latn-RS"/>
        </w:rPr>
        <w:t>Izvor: DevInfo</w:t>
      </w:r>
    </w:p>
    <w:p w14:paraId="54884789" w14:textId="77777777" w:rsidR="005A30AD" w:rsidRPr="00F5183F" w:rsidRDefault="005A30AD">
      <w:pPr>
        <w:rPr>
          <w:rFonts w:asciiTheme="minorHAnsi" w:hAnsiTheme="minorHAnsi" w:cstheme="minorHAnsi"/>
          <w:b/>
          <w:smallCaps/>
          <w:strike/>
          <w:lang w:val="sr-Latn-RS"/>
        </w:rPr>
      </w:pPr>
    </w:p>
    <w:p w14:paraId="5DD05CF5" w14:textId="45D74959" w:rsidR="005A30AD" w:rsidRPr="00F5183F" w:rsidRDefault="005A30AD">
      <w:pPr>
        <w:rPr>
          <w:rFonts w:asciiTheme="minorHAnsi" w:hAnsiTheme="minorHAnsi" w:cstheme="minorHAnsi"/>
          <w:lang w:val="sr-Latn-RS"/>
        </w:rPr>
      </w:pPr>
      <w:r w:rsidRPr="00F5183F">
        <w:rPr>
          <w:rFonts w:asciiTheme="minorHAnsi" w:hAnsiTheme="minorHAnsi" w:cstheme="minorHAnsi"/>
          <w:b/>
          <w:i/>
          <w:lang w:val="sr-Latn-RS"/>
        </w:rPr>
        <w:t>Procenat imunizacije dec</w:t>
      </w:r>
      <w:r w:rsidR="0066364B" w:rsidRPr="00F5183F">
        <w:rPr>
          <w:rFonts w:asciiTheme="minorHAnsi" w:hAnsiTheme="minorHAnsi" w:cstheme="minorHAnsi"/>
          <w:b/>
          <w:i/>
          <w:lang w:val="sr-Latn-RS"/>
        </w:rPr>
        <w:t>e</w:t>
      </w:r>
      <w:r w:rsidRPr="00F5183F">
        <w:rPr>
          <w:rFonts w:asciiTheme="minorHAnsi" w:hAnsiTheme="minorHAnsi" w:cstheme="minorHAnsi"/>
          <w:b/>
          <w:i/>
          <w:lang w:val="sr-Latn-RS"/>
        </w:rPr>
        <w:t xml:space="preserve"> je visok i </w:t>
      </w:r>
      <w:r w:rsidR="0066364B" w:rsidRPr="00F5183F">
        <w:rPr>
          <w:rFonts w:asciiTheme="minorHAnsi" w:hAnsiTheme="minorHAnsi" w:cstheme="minorHAnsi"/>
          <w:b/>
          <w:i/>
          <w:lang w:val="sr-Latn-RS"/>
        </w:rPr>
        <w:t xml:space="preserve">nešto je </w:t>
      </w:r>
      <w:r w:rsidRPr="00F5183F">
        <w:rPr>
          <w:rFonts w:asciiTheme="minorHAnsi" w:hAnsiTheme="minorHAnsi" w:cstheme="minorHAnsi"/>
          <w:b/>
          <w:i/>
          <w:lang w:val="sr-Latn-RS"/>
        </w:rPr>
        <w:t>viši</w:t>
      </w:r>
      <w:r w:rsidR="001E5B0F" w:rsidRPr="00F5183F">
        <w:rPr>
          <w:rFonts w:asciiTheme="minorHAnsi" w:hAnsiTheme="minorHAnsi" w:cstheme="minorHAnsi"/>
          <w:b/>
          <w:i/>
          <w:lang w:val="sr-Latn-RS"/>
        </w:rPr>
        <w:t xml:space="preserve"> </w:t>
      </w:r>
      <w:r w:rsidRPr="00F5183F">
        <w:rPr>
          <w:rFonts w:asciiTheme="minorHAnsi" w:hAnsiTheme="minorHAnsi" w:cstheme="minorHAnsi"/>
          <w:b/>
          <w:i/>
          <w:lang w:val="sr-Latn-RS"/>
        </w:rPr>
        <w:t xml:space="preserve">od proseka Srbije, </w:t>
      </w:r>
      <w:r w:rsidRPr="00F5183F">
        <w:rPr>
          <w:rFonts w:asciiTheme="minorHAnsi" w:hAnsiTheme="minorHAnsi" w:cstheme="minorHAnsi"/>
          <w:lang w:val="sr-Latn-RS"/>
        </w:rPr>
        <w:t xml:space="preserve">posebno kada je u pitanju </w:t>
      </w:r>
      <w:r w:rsidR="00A92830" w:rsidRPr="00F5183F">
        <w:rPr>
          <w:rFonts w:asciiTheme="minorHAnsi" w:hAnsiTheme="minorHAnsi" w:cstheme="minorHAnsi"/>
          <w:lang w:val="sr-Latn-RS"/>
        </w:rPr>
        <w:t xml:space="preserve">vakcina protiv malih boginja. </w:t>
      </w:r>
    </w:p>
    <w:p w14:paraId="6C9A1CA7" w14:textId="17D8FFAC" w:rsidR="00001AF1" w:rsidRDefault="00001AF1">
      <w:pPr>
        <w:rPr>
          <w:rFonts w:asciiTheme="minorHAnsi" w:hAnsiTheme="minorHAnsi" w:cstheme="minorHAnsi"/>
          <w:strike/>
          <w:lang w:val="sr-Latn-RS"/>
        </w:rPr>
      </w:pPr>
    </w:p>
    <w:p w14:paraId="0988DFE7" w14:textId="6652A40D" w:rsidR="005A30AD" w:rsidRPr="00F5183F" w:rsidRDefault="005A30AD" w:rsidP="005A30AD">
      <w:pPr>
        <w:rPr>
          <w:rFonts w:asciiTheme="minorHAnsi" w:hAnsiTheme="minorHAnsi" w:cstheme="minorHAnsi"/>
          <w:bCs/>
          <w:lang w:val="sr-Latn-RS"/>
        </w:rPr>
      </w:pPr>
      <w:r w:rsidRPr="00F5183F">
        <w:rPr>
          <w:rFonts w:asciiTheme="minorHAnsi" w:hAnsiTheme="minorHAnsi" w:cstheme="minorHAnsi"/>
          <w:bCs/>
          <w:lang w:val="sr-Latn-RS"/>
        </w:rPr>
        <w:t xml:space="preserve">Tabela </w:t>
      </w:r>
      <w:r w:rsidR="00841A40" w:rsidRPr="00F5183F">
        <w:rPr>
          <w:rFonts w:asciiTheme="minorHAnsi" w:hAnsiTheme="minorHAnsi" w:cstheme="minorHAnsi"/>
          <w:bCs/>
          <w:lang w:val="sr-Latn-RS"/>
        </w:rPr>
        <w:t xml:space="preserve"> </w:t>
      </w:r>
      <w:r w:rsidR="00045BE3" w:rsidRPr="00F5183F">
        <w:rPr>
          <w:rFonts w:asciiTheme="minorHAnsi" w:hAnsiTheme="minorHAnsi" w:cstheme="minorHAnsi"/>
          <w:bCs/>
          <w:lang w:val="sr-Latn-RS"/>
        </w:rPr>
        <w:t>9</w:t>
      </w:r>
      <w:r w:rsidR="00841A40" w:rsidRPr="00F5183F">
        <w:rPr>
          <w:rFonts w:asciiTheme="minorHAnsi" w:hAnsiTheme="minorHAnsi" w:cstheme="minorHAnsi"/>
          <w:bCs/>
          <w:lang w:val="sr-Latn-RS"/>
        </w:rPr>
        <w:t>.</w:t>
      </w:r>
      <w:r w:rsidRPr="00F5183F">
        <w:rPr>
          <w:rFonts w:asciiTheme="minorHAnsi" w:hAnsiTheme="minorHAnsi" w:cstheme="minorHAnsi"/>
          <w:bCs/>
          <w:lang w:val="sr-Latn-RS"/>
        </w:rPr>
        <w:t xml:space="preserve"> Imunizacija, 201</w:t>
      </w:r>
      <w:r w:rsidR="00BD3D15" w:rsidRPr="00F5183F">
        <w:rPr>
          <w:rFonts w:asciiTheme="minorHAnsi" w:hAnsiTheme="minorHAnsi" w:cstheme="minorHAnsi"/>
          <w:bCs/>
          <w:lang w:val="sr-Latn-RS"/>
        </w:rPr>
        <w:t>9</w:t>
      </w:r>
      <w:r w:rsidR="00213EFD" w:rsidRPr="00F5183F">
        <w:rPr>
          <w:rFonts w:asciiTheme="minorHAnsi" w:hAnsiTheme="minorHAnsi" w:cstheme="minorHAnsi"/>
          <w:bCs/>
          <w:lang w:val="sr-Latn-RS"/>
        </w:rPr>
        <w:t>.</w:t>
      </w:r>
    </w:p>
    <w:tbl>
      <w:tblPr>
        <w:tblW w:w="5000" w:type="pct"/>
        <w:tblLook w:val="04A0" w:firstRow="1" w:lastRow="0" w:firstColumn="1" w:lastColumn="0" w:noHBand="0" w:noVBand="1"/>
      </w:tblPr>
      <w:tblGrid>
        <w:gridCol w:w="5588"/>
        <w:gridCol w:w="1887"/>
        <w:gridCol w:w="1885"/>
      </w:tblGrid>
      <w:tr w:rsidR="005A30AD" w:rsidRPr="00F5183F" w14:paraId="2D53CF39" w14:textId="77777777" w:rsidTr="00FC6D80">
        <w:trPr>
          <w:trHeight w:val="320"/>
        </w:trPr>
        <w:tc>
          <w:tcPr>
            <w:tcW w:w="2985" w:type="pct"/>
            <w:tcBorders>
              <w:top w:val="single" w:sz="4" w:space="0" w:color="auto"/>
              <w:left w:val="nil"/>
              <w:bottom w:val="single" w:sz="4" w:space="0" w:color="auto"/>
              <w:right w:val="nil"/>
            </w:tcBorders>
            <w:shd w:val="clear" w:color="auto" w:fill="auto"/>
            <w:noWrap/>
            <w:vAlign w:val="bottom"/>
            <w:hideMark/>
          </w:tcPr>
          <w:p w14:paraId="0FEB3848" w14:textId="77777777" w:rsidR="005A30AD" w:rsidRPr="00F5183F" w:rsidRDefault="005A30AD">
            <w:pPr>
              <w:rPr>
                <w:rFonts w:asciiTheme="minorHAnsi" w:hAnsiTheme="minorHAnsi" w:cstheme="minorHAnsi"/>
                <w:color w:val="000000"/>
                <w:lang w:val="sr-Latn-RS"/>
              </w:rPr>
            </w:pPr>
            <w:r w:rsidRPr="00F5183F">
              <w:rPr>
                <w:rFonts w:asciiTheme="minorHAnsi" w:hAnsiTheme="minorHAnsi" w:cstheme="minorHAnsi"/>
                <w:color w:val="000000"/>
                <w:lang w:val="sr-Latn-RS"/>
              </w:rPr>
              <w:t> </w:t>
            </w:r>
          </w:p>
        </w:tc>
        <w:tc>
          <w:tcPr>
            <w:tcW w:w="1008" w:type="pct"/>
            <w:tcBorders>
              <w:top w:val="single" w:sz="4" w:space="0" w:color="auto"/>
              <w:left w:val="nil"/>
              <w:bottom w:val="single" w:sz="4" w:space="0" w:color="auto"/>
              <w:right w:val="nil"/>
            </w:tcBorders>
            <w:shd w:val="clear" w:color="auto" w:fill="auto"/>
            <w:noWrap/>
            <w:vAlign w:val="center"/>
            <w:hideMark/>
          </w:tcPr>
          <w:p w14:paraId="4DDAEA16" w14:textId="5E899B19" w:rsidR="005A30AD" w:rsidRPr="00F5183F" w:rsidRDefault="00BD3D15">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Bač</w:t>
            </w:r>
          </w:p>
        </w:tc>
        <w:tc>
          <w:tcPr>
            <w:tcW w:w="1007" w:type="pct"/>
            <w:tcBorders>
              <w:top w:val="single" w:sz="4" w:space="0" w:color="auto"/>
              <w:left w:val="nil"/>
              <w:bottom w:val="single" w:sz="4" w:space="0" w:color="auto"/>
              <w:right w:val="nil"/>
            </w:tcBorders>
            <w:shd w:val="clear" w:color="auto" w:fill="auto"/>
            <w:noWrap/>
            <w:vAlign w:val="center"/>
            <w:hideMark/>
          </w:tcPr>
          <w:p w14:paraId="62533637" w14:textId="5AAC1889" w:rsidR="005A30AD" w:rsidRPr="00F5183F" w:rsidRDefault="008900C0">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 xml:space="preserve">Republika </w:t>
            </w:r>
            <w:r w:rsidR="005A30AD" w:rsidRPr="00F5183F">
              <w:rPr>
                <w:rFonts w:asciiTheme="minorHAnsi" w:hAnsiTheme="minorHAnsi" w:cstheme="minorHAnsi"/>
                <w:color w:val="000000"/>
                <w:lang w:val="sr-Latn-RS"/>
              </w:rPr>
              <w:t>Srbija</w:t>
            </w:r>
          </w:p>
        </w:tc>
      </w:tr>
      <w:tr w:rsidR="005A30AD" w:rsidRPr="00F5183F" w14:paraId="6A10863B" w14:textId="77777777" w:rsidTr="00FC6D80">
        <w:trPr>
          <w:trHeight w:val="600"/>
        </w:trPr>
        <w:tc>
          <w:tcPr>
            <w:tcW w:w="2985" w:type="pct"/>
            <w:tcBorders>
              <w:top w:val="nil"/>
              <w:left w:val="nil"/>
              <w:bottom w:val="nil"/>
              <w:right w:val="nil"/>
            </w:tcBorders>
            <w:shd w:val="clear" w:color="auto" w:fill="auto"/>
            <w:vAlign w:val="center"/>
            <w:hideMark/>
          </w:tcPr>
          <w:p w14:paraId="03417F20" w14:textId="77777777" w:rsidR="005A30AD" w:rsidRPr="00F5183F" w:rsidRDefault="005A30AD">
            <w:pPr>
              <w:rPr>
                <w:rFonts w:asciiTheme="minorHAnsi" w:hAnsiTheme="minorHAnsi" w:cstheme="minorHAnsi"/>
                <w:lang w:val="sr-Latn-RS"/>
              </w:rPr>
            </w:pPr>
            <w:r w:rsidRPr="00F5183F">
              <w:rPr>
                <w:rFonts w:asciiTheme="minorHAnsi" w:hAnsiTheme="minorHAnsi" w:cstheme="minorHAnsi"/>
                <w:lang w:val="sr-Latn-RS"/>
              </w:rPr>
              <w:t xml:space="preserve">Procenat dece koja su vakcinisana protiv difterije, tetanusa i velikog kašlja u prvoj godini života </w:t>
            </w:r>
          </w:p>
        </w:tc>
        <w:tc>
          <w:tcPr>
            <w:tcW w:w="1008" w:type="pct"/>
            <w:tcBorders>
              <w:top w:val="nil"/>
              <w:left w:val="nil"/>
              <w:bottom w:val="nil"/>
              <w:right w:val="nil"/>
            </w:tcBorders>
            <w:shd w:val="clear" w:color="auto" w:fill="auto"/>
            <w:noWrap/>
            <w:vAlign w:val="center"/>
            <w:hideMark/>
          </w:tcPr>
          <w:p w14:paraId="02B691B2" w14:textId="58D7CCE4" w:rsidR="005A30AD" w:rsidRPr="00F5183F" w:rsidRDefault="001E5B0F">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96,0</w:t>
            </w:r>
          </w:p>
        </w:tc>
        <w:tc>
          <w:tcPr>
            <w:tcW w:w="1007" w:type="pct"/>
            <w:tcBorders>
              <w:top w:val="nil"/>
              <w:left w:val="nil"/>
              <w:bottom w:val="nil"/>
              <w:right w:val="nil"/>
            </w:tcBorders>
            <w:shd w:val="clear" w:color="auto" w:fill="auto"/>
            <w:noWrap/>
            <w:vAlign w:val="center"/>
            <w:hideMark/>
          </w:tcPr>
          <w:p w14:paraId="31000D71" w14:textId="620F630E" w:rsidR="005A30AD" w:rsidRPr="00F5183F" w:rsidRDefault="005A30AD">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95</w:t>
            </w:r>
            <w:r w:rsidR="00BD3D15" w:rsidRPr="00F5183F">
              <w:rPr>
                <w:rFonts w:asciiTheme="minorHAnsi" w:hAnsiTheme="minorHAnsi" w:cstheme="minorHAnsi"/>
                <w:color w:val="000000"/>
                <w:lang w:val="sr-Latn-RS"/>
              </w:rPr>
              <w:t>,</w:t>
            </w:r>
            <w:r w:rsidRPr="00F5183F">
              <w:rPr>
                <w:rFonts w:asciiTheme="minorHAnsi" w:hAnsiTheme="minorHAnsi" w:cstheme="minorHAnsi"/>
                <w:color w:val="000000"/>
                <w:lang w:val="sr-Latn-RS"/>
              </w:rPr>
              <w:t>1</w:t>
            </w:r>
          </w:p>
        </w:tc>
      </w:tr>
      <w:tr w:rsidR="005A30AD" w:rsidRPr="00F5183F" w14:paraId="01F984BF" w14:textId="77777777" w:rsidTr="00FC6D80">
        <w:trPr>
          <w:trHeight w:val="600"/>
        </w:trPr>
        <w:tc>
          <w:tcPr>
            <w:tcW w:w="2985" w:type="pct"/>
            <w:tcBorders>
              <w:top w:val="nil"/>
              <w:left w:val="nil"/>
              <w:bottom w:val="single" w:sz="4" w:space="0" w:color="auto"/>
              <w:right w:val="nil"/>
            </w:tcBorders>
            <w:shd w:val="clear" w:color="auto" w:fill="auto"/>
            <w:vAlign w:val="center"/>
            <w:hideMark/>
          </w:tcPr>
          <w:p w14:paraId="16FA63FF" w14:textId="77777777" w:rsidR="005A30AD" w:rsidRPr="00F5183F" w:rsidRDefault="005A30AD">
            <w:pPr>
              <w:rPr>
                <w:rFonts w:asciiTheme="minorHAnsi" w:hAnsiTheme="minorHAnsi" w:cstheme="minorHAnsi"/>
                <w:lang w:val="sr-Latn-RS"/>
              </w:rPr>
            </w:pPr>
            <w:r w:rsidRPr="00F5183F">
              <w:rPr>
                <w:rFonts w:asciiTheme="minorHAnsi" w:hAnsiTheme="minorHAnsi" w:cstheme="minorHAnsi"/>
                <w:lang w:val="sr-Latn-RS"/>
              </w:rPr>
              <w:t>Procenat dece koja su vakcinisana protiv malih boginja u prvih 18 meseci života</w:t>
            </w:r>
          </w:p>
        </w:tc>
        <w:tc>
          <w:tcPr>
            <w:tcW w:w="1008" w:type="pct"/>
            <w:tcBorders>
              <w:top w:val="nil"/>
              <w:left w:val="nil"/>
              <w:bottom w:val="single" w:sz="4" w:space="0" w:color="auto"/>
              <w:right w:val="nil"/>
            </w:tcBorders>
            <w:shd w:val="clear" w:color="auto" w:fill="auto"/>
            <w:noWrap/>
            <w:vAlign w:val="center"/>
            <w:hideMark/>
          </w:tcPr>
          <w:p w14:paraId="1EDAE9F5" w14:textId="3E0640CD" w:rsidR="005A30AD" w:rsidRPr="00F5183F" w:rsidRDefault="005A30AD">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9</w:t>
            </w:r>
            <w:r w:rsidR="001E5B0F" w:rsidRPr="00F5183F">
              <w:rPr>
                <w:rFonts w:asciiTheme="minorHAnsi" w:hAnsiTheme="minorHAnsi" w:cstheme="minorHAnsi"/>
                <w:color w:val="000000"/>
                <w:lang w:val="sr-Latn-RS"/>
              </w:rPr>
              <w:t>2,1</w:t>
            </w:r>
          </w:p>
        </w:tc>
        <w:tc>
          <w:tcPr>
            <w:tcW w:w="1007" w:type="pct"/>
            <w:tcBorders>
              <w:top w:val="nil"/>
              <w:left w:val="nil"/>
              <w:bottom w:val="single" w:sz="4" w:space="0" w:color="auto"/>
              <w:right w:val="nil"/>
            </w:tcBorders>
            <w:shd w:val="clear" w:color="auto" w:fill="auto"/>
            <w:noWrap/>
            <w:vAlign w:val="center"/>
            <w:hideMark/>
          </w:tcPr>
          <w:p w14:paraId="4F4E17F2" w14:textId="640522DA" w:rsidR="005A30AD" w:rsidRPr="00F5183F" w:rsidRDefault="005A30AD">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8</w:t>
            </w:r>
            <w:r w:rsidR="00BD3D15" w:rsidRPr="00F5183F">
              <w:rPr>
                <w:rFonts w:asciiTheme="minorHAnsi" w:hAnsiTheme="minorHAnsi" w:cstheme="minorHAnsi"/>
                <w:color w:val="000000"/>
                <w:lang w:val="sr-Latn-RS"/>
              </w:rPr>
              <w:t>8,0</w:t>
            </w:r>
          </w:p>
        </w:tc>
      </w:tr>
    </w:tbl>
    <w:p w14:paraId="3508AC44" w14:textId="77777777" w:rsidR="00FC6D80" w:rsidRPr="00F5183F" w:rsidRDefault="00FC6D80" w:rsidP="00FC6D80">
      <w:pPr>
        <w:rPr>
          <w:rFonts w:asciiTheme="minorHAnsi" w:hAnsiTheme="minorHAnsi" w:cstheme="minorHAnsi"/>
          <w:sz w:val="20"/>
          <w:szCs w:val="20"/>
          <w:lang w:val="sr-Latn-RS"/>
        </w:rPr>
      </w:pPr>
      <w:r w:rsidRPr="00F5183F">
        <w:rPr>
          <w:rFonts w:asciiTheme="minorHAnsi" w:hAnsiTheme="minorHAnsi" w:cstheme="minorHAnsi"/>
          <w:sz w:val="20"/>
          <w:szCs w:val="20"/>
          <w:lang w:val="sr-Latn-RS"/>
        </w:rPr>
        <w:t>Izvor: DevInfo</w:t>
      </w:r>
    </w:p>
    <w:p w14:paraId="1D8B01B7" w14:textId="77777777" w:rsidR="005A30AD" w:rsidRPr="00F5183F" w:rsidRDefault="005A30AD">
      <w:pPr>
        <w:rPr>
          <w:rFonts w:asciiTheme="minorHAnsi" w:hAnsiTheme="minorHAnsi" w:cstheme="minorHAnsi"/>
          <w:b/>
          <w:smallCaps/>
          <w:strike/>
          <w:lang w:val="sr-Latn-RS"/>
        </w:rPr>
      </w:pPr>
    </w:p>
    <w:p w14:paraId="220AA777" w14:textId="77777777" w:rsidR="00E33C1C" w:rsidRPr="00F5183F" w:rsidRDefault="00E33C1C" w:rsidP="0044328D">
      <w:pPr>
        <w:jc w:val="both"/>
        <w:rPr>
          <w:rFonts w:asciiTheme="minorHAnsi" w:hAnsiTheme="minorHAnsi" w:cstheme="minorHAnsi"/>
          <w:b/>
          <w:i/>
          <w:lang w:val="sr-Latn-RS"/>
        </w:rPr>
      </w:pPr>
    </w:p>
    <w:p w14:paraId="43D5A2BD" w14:textId="3BAD21C0" w:rsidR="00E33C1C" w:rsidRPr="00F5183F" w:rsidRDefault="00E33C1C" w:rsidP="00E33C1C">
      <w:pPr>
        <w:pBdr>
          <w:top w:val="single" w:sz="4" w:space="1" w:color="auto"/>
          <w:left w:val="single" w:sz="4" w:space="4" w:color="auto"/>
          <w:bottom w:val="single" w:sz="4" w:space="1" w:color="auto"/>
          <w:right w:val="single" w:sz="4" w:space="4" w:color="auto"/>
        </w:pBdr>
        <w:rPr>
          <w:rFonts w:asciiTheme="minorHAnsi" w:hAnsiTheme="minorHAnsi" w:cstheme="minorHAnsi"/>
          <w:lang w:val="sr-Latn-RS"/>
        </w:rPr>
      </w:pPr>
      <w:r w:rsidRPr="00F5183F">
        <w:rPr>
          <w:rFonts w:asciiTheme="minorHAnsi" w:hAnsiTheme="minorHAnsi"/>
          <w:b/>
          <w:smallCaps/>
          <w:lang w:val="sr-Latn-RS"/>
        </w:rPr>
        <w:t xml:space="preserve">Boks </w:t>
      </w:r>
      <w:r w:rsidR="00086EEB" w:rsidRPr="00F5183F">
        <w:rPr>
          <w:rFonts w:asciiTheme="minorHAnsi" w:hAnsiTheme="minorHAnsi"/>
          <w:b/>
          <w:smallCaps/>
          <w:lang w:val="sr-Latn-RS"/>
        </w:rPr>
        <w:t>8</w:t>
      </w:r>
      <w:r w:rsidRPr="00F5183F">
        <w:rPr>
          <w:rFonts w:asciiTheme="minorHAnsi" w:hAnsiTheme="minorHAnsi"/>
          <w:b/>
          <w:smallCaps/>
          <w:lang w:val="sr-Latn-RS"/>
        </w:rPr>
        <w:t xml:space="preserve">. COR </w:t>
      </w:r>
      <w:r w:rsidR="00785160" w:rsidRPr="00F5183F">
        <w:rPr>
          <w:rFonts w:asciiTheme="minorHAnsi" w:hAnsiTheme="minorHAnsi"/>
          <w:b/>
          <w:smallCaps/>
          <w:lang w:val="sr-Latn-RS"/>
        </w:rPr>
        <w:t>INDIKATORI DOBROG ZDRAVLJA ZA LOKALNI NIVO</w:t>
      </w:r>
    </w:p>
    <w:p w14:paraId="75D1049F" w14:textId="77777777" w:rsidR="00E33C1C" w:rsidRPr="00F5183F" w:rsidRDefault="00E33C1C" w:rsidP="00E33C1C">
      <w:pPr>
        <w:pBdr>
          <w:top w:val="single" w:sz="4" w:space="1" w:color="auto"/>
          <w:left w:val="single" w:sz="4" w:space="4" w:color="auto"/>
          <w:bottom w:val="single" w:sz="4" w:space="1" w:color="auto"/>
          <w:right w:val="single" w:sz="4" w:space="4" w:color="auto"/>
        </w:pBdr>
        <w:rPr>
          <w:rFonts w:asciiTheme="minorHAnsi" w:hAnsiTheme="minorHAnsi" w:cstheme="minorHAnsi"/>
          <w:lang w:val="sr-Latn-RS"/>
        </w:rPr>
      </w:pPr>
    </w:p>
    <w:p w14:paraId="6EAB5167" w14:textId="25885D6C" w:rsidR="00E33C1C" w:rsidRPr="00F5183F" w:rsidRDefault="00E33C1C" w:rsidP="00E33C1C">
      <w:pPr>
        <w:pBdr>
          <w:top w:val="single" w:sz="4" w:space="1" w:color="auto"/>
          <w:left w:val="single" w:sz="4" w:space="4" w:color="auto"/>
          <w:bottom w:val="single" w:sz="4" w:space="1" w:color="auto"/>
          <w:right w:val="single" w:sz="4" w:space="4" w:color="auto"/>
        </w:pBdr>
        <w:jc w:val="both"/>
        <w:rPr>
          <w:rFonts w:asciiTheme="minorHAnsi" w:hAnsiTheme="minorHAnsi" w:cstheme="minorHAnsi"/>
          <w:lang w:val="sr-Latn-RS"/>
        </w:rPr>
      </w:pPr>
      <w:r w:rsidRPr="00F5183F">
        <w:rPr>
          <w:rFonts w:asciiTheme="minorHAnsi" w:hAnsiTheme="minorHAnsi" w:cstheme="minorHAnsi"/>
          <w:lang w:val="sr-Latn-RS"/>
        </w:rPr>
        <w:t>Među</w:t>
      </w:r>
      <w:r w:rsidR="008900C0" w:rsidRPr="00F5183F">
        <w:rPr>
          <w:rFonts w:asciiTheme="minorHAnsi" w:hAnsiTheme="minorHAnsi" w:cstheme="minorHAnsi"/>
          <w:lang w:val="sr-Latn-RS"/>
        </w:rPr>
        <w:t xml:space="preserve"> indikatorima uz pomoć kojih se prate </w:t>
      </w:r>
      <w:r w:rsidRPr="00F5183F">
        <w:rPr>
          <w:rFonts w:asciiTheme="minorHAnsi" w:hAnsiTheme="minorHAnsi" w:cstheme="minorHAnsi"/>
          <w:lang w:val="sr-Latn-RS"/>
        </w:rPr>
        <w:t xml:space="preserve">ciljevi održivog razvoja u sferi dobrog zdravlja za lokalni nivo u DevInfo bazi su dostupni indikatori </w:t>
      </w:r>
      <w:r w:rsidRPr="00F5183F">
        <w:rPr>
          <w:rFonts w:asciiTheme="minorHAnsi" w:hAnsiTheme="minorHAnsi" w:cstheme="minorHAnsi"/>
          <w:i/>
          <w:iCs/>
          <w:lang w:val="sr-Latn-RS"/>
        </w:rPr>
        <w:t>Stopa neonatalne smrtnosti</w:t>
      </w:r>
      <w:r w:rsidRPr="00F5183F">
        <w:rPr>
          <w:rFonts w:asciiTheme="minorHAnsi" w:hAnsiTheme="minorHAnsi" w:cstheme="minorHAnsi"/>
          <w:lang w:val="sr-Latn-RS"/>
        </w:rPr>
        <w:t xml:space="preserve"> (3.2.2</w:t>
      </w:r>
      <w:r w:rsidRPr="00F5183F">
        <w:rPr>
          <w:rFonts w:asciiTheme="minorHAnsi" w:hAnsiTheme="minorHAnsi" w:cstheme="minorHAnsi"/>
          <w:i/>
          <w:iCs/>
          <w:lang w:val="sr-Latn-RS"/>
        </w:rPr>
        <w:t>.), Incidenca tuberkuloze na 100.000 stanovnika</w:t>
      </w:r>
      <w:r w:rsidRPr="00F5183F">
        <w:rPr>
          <w:rFonts w:asciiTheme="minorHAnsi" w:hAnsiTheme="minorHAnsi" w:cstheme="minorHAnsi"/>
          <w:lang w:val="sr-Latn-RS"/>
        </w:rPr>
        <w:t xml:space="preserve"> (3.3.2)  i </w:t>
      </w:r>
      <w:r w:rsidRPr="00F5183F">
        <w:rPr>
          <w:rFonts w:asciiTheme="minorHAnsi" w:hAnsiTheme="minorHAnsi" w:cstheme="minorHAnsi"/>
          <w:i/>
          <w:iCs/>
          <w:lang w:val="sr-Latn-RS"/>
        </w:rPr>
        <w:t>Stopa smrtnosti usled samoubistva na 100.000 stanovnika</w:t>
      </w:r>
      <w:r w:rsidRPr="00F5183F">
        <w:rPr>
          <w:rFonts w:asciiTheme="minorHAnsi" w:hAnsiTheme="minorHAnsi" w:cstheme="minorHAnsi"/>
          <w:lang w:val="sr-Latn-RS"/>
        </w:rPr>
        <w:t xml:space="preserve"> (3.4.2).</w:t>
      </w:r>
    </w:p>
    <w:p w14:paraId="3D5ED02F" w14:textId="5E43A90E" w:rsidR="00E33C1C" w:rsidRPr="00F5183F" w:rsidRDefault="00E33C1C" w:rsidP="00E33C1C">
      <w:pPr>
        <w:pStyle w:val="NormalWeb"/>
        <w:pBdr>
          <w:top w:val="single" w:sz="4" w:space="1" w:color="auto"/>
          <w:left w:val="single" w:sz="4" w:space="4" w:color="auto"/>
          <w:bottom w:val="single" w:sz="4" w:space="1" w:color="auto"/>
          <w:right w:val="single" w:sz="4" w:space="4" w:color="auto"/>
        </w:pBdr>
        <w:jc w:val="both"/>
        <w:rPr>
          <w:rFonts w:eastAsia="Times New Roman"/>
          <w:b/>
          <w:bCs/>
          <w:lang w:val="sr-Latn-RS" w:eastAsia="en-GB"/>
        </w:rPr>
      </w:pPr>
      <w:r w:rsidRPr="00F5183F">
        <w:rPr>
          <w:rFonts w:asciiTheme="minorHAnsi" w:hAnsiTheme="minorHAnsi" w:cstheme="minorHAnsi"/>
          <w:lang w:val="sr-Latn-RS"/>
        </w:rPr>
        <w:t xml:space="preserve">Umesto COR indikatora </w:t>
      </w:r>
      <w:r w:rsidRPr="00F5183F">
        <w:rPr>
          <w:rFonts w:asciiTheme="minorHAnsi" w:hAnsiTheme="minorHAnsi" w:cstheme="minorHAnsi"/>
          <w:i/>
          <w:iCs/>
          <w:lang w:val="sr-Latn-RS"/>
        </w:rPr>
        <w:t>Stopa smrtnosti dece ispod 5 godina starosti</w:t>
      </w:r>
      <w:r w:rsidRPr="00F5183F">
        <w:rPr>
          <w:rFonts w:asciiTheme="minorHAnsi" w:hAnsiTheme="minorHAnsi" w:cstheme="minorHAnsi"/>
          <w:lang w:val="sr-Latn-RS"/>
        </w:rPr>
        <w:t xml:space="preserve"> (3.2.1) u DevInfo bazi se prati stopa smrtnosti odojčadi, umesto indikatora</w:t>
      </w:r>
      <w:r w:rsidRPr="00F5183F">
        <w:rPr>
          <w:rFonts w:ascii="Calibri" w:eastAsia="Times New Roman" w:hAnsi="Calibri"/>
          <w:lang w:val="sr-Latn-RS" w:eastAsia="en-GB"/>
        </w:rPr>
        <w:t xml:space="preserve"> </w:t>
      </w:r>
      <w:r w:rsidRPr="00F5183F">
        <w:rPr>
          <w:rFonts w:ascii="Calibri" w:eastAsia="Times New Roman" w:hAnsi="Calibri"/>
          <w:i/>
          <w:iCs/>
          <w:lang w:val="sr-Latn-RS" w:eastAsia="en-GB"/>
        </w:rPr>
        <w:t>Udeo ciljne populacije obuhvaćene svim vakcinama iz nacionalnog programa</w:t>
      </w:r>
      <w:r w:rsidRPr="00F5183F">
        <w:rPr>
          <w:rFonts w:ascii="Calibri" w:eastAsia="Times New Roman" w:hAnsi="Calibri"/>
          <w:lang w:val="sr-Latn-RS" w:eastAsia="en-GB"/>
        </w:rPr>
        <w:t xml:space="preserve"> (3.b.1) raspoloživ je podatak o </w:t>
      </w:r>
      <w:r w:rsidRPr="00F5183F">
        <w:rPr>
          <w:rFonts w:asciiTheme="minorHAnsi" w:hAnsiTheme="minorHAnsi" w:cstheme="minorHAnsi"/>
          <w:lang w:val="sr-Latn-RS"/>
        </w:rPr>
        <w:t xml:space="preserve">procentu dece koja su vakcinisana protiv difterije, tetanusa, kao I o procentu dece koja su vakcinisana protiv malih boginja u prvih 18 meseci života, a umesto indikatora </w:t>
      </w:r>
      <w:r w:rsidRPr="00F5183F">
        <w:rPr>
          <w:rFonts w:asciiTheme="minorHAnsi" w:hAnsiTheme="minorHAnsi" w:cstheme="minorHAnsi"/>
          <w:i/>
          <w:iCs/>
          <w:lang w:val="sr-Latn-RS"/>
        </w:rPr>
        <w:t xml:space="preserve">Gustina i distribucija zdravstvenih radnika </w:t>
      </w:r>
      <w:r w:rsidRPr="00F5183F">
        <w:rPr>
          <w:rFonts w:asciiTheme="minorHAnsi" w:hAnsiTheme="minorHAnsi" w:cstheme="minorHAnsi"/>
          <w:lang w:val="sr-Latn-RS"/>
        </w:rPr>
        <w:t xml:space="preserve">na 10.000 stanovnika (3.c.1) raspoloživi su podaci o broju lekara </w:t>
      </w:r>
      <w:r w:rsidR="003D15E5" w:rsidRPr="00F5183F">
        <w:rPr>
          <w:rFonts w:asciiTheme="minorHAnsi" w:hAnsiTheme="minorHAnsi" w:cstheme="minorHAnsi"/>
          <w:bCs/>
          <w:lang w:val="sr-Latn-RS"/>
        </w:rPr>
        <w:t>u primarnoj zdravstvenoj zaštiti</w:t>
      </w:r>
      <w:r w:rsidR="003D15E5" w:rsidRPr="00F5183F">
        <w:rPr>
          <w:rFonts w:asciiTheme="minorHAnsi" w:hAnsiTheme="minorHAnsi" w:cstheme="minorHAnsi"/>
          <w:lang w:val="sr-Latn-RS"/>
        </w:rPr>
        <w:t xml:space="preserve">  </w:t>
      </w:r>
      <w:r w:rsidRPr="00F5183F">
        <w:rPr>
          <w:rFonts w:asciiTheme="minorHAnsi" w:hAnsiTheme="minorHAnsi" w:cstheme="minorHAnsi"/>
          <w:lang w:val="sr-Latn-RS"/>
        </w:rPr>
        <w:t>na 1.000 stanovnika</w:t>
      </w:r>
      <w:r w:rsidR="003D15E5" w:rsidRPr="00F5183F">
        <w:rPr>
          <w:rFonts w:asciiTheme="minorHAnsi" w:hAnsiTheme="minorHAnsi" w:cstheme="minorHAnsi"/>
          <w:lang w:val="sr-Latn-RS"/>
        </w:rPr>
        <w:t xml:space="preserve">. </w:t>
      </w:r>
    </w:p>
    <w:p w14:paraId="0BDF1A19" w14:textId="4323E80F" w:rsidR="00A92830" w:rsidRPr="00F5183F" w:rsidRDefault="00A92830" w:rsidP="0044328D">
      <w:pPr>
        <w:jc w:val="both"/>
        <w:rPr>
          <w:lang w:val="sr-Latn-RS"/>
        </w:rPr>
      </w:pPr>
      <w:r w:rsidRPr="00F5183F">
        <w:rPr>
          <w:rFonts w:asciiTheme="minorHAnsi" w:hAnsiTheme="minorHAnsi" w:cstheme="minorHAnsi"/>
          <w:b/>
          <w:i/>
          <w:lang w:val="sr-Latn-RS"/>
        </w:rPr>
        <w:t xml:space="preserve">Neonatalna </w:t>
      </w:r>
      <w:r w:rsidR="007C2A38" w:rsidRPr="00F5183F">
        <w:rPr>
          <w:rFonts w:asciiTheme="minorHAnsi" w:hAnsiTheme="minorHAnsi" w:cstheme="minorHAnsi"/>
          <w:b/>
          <w:i/>
          <w:lang w:val="sr-Latn-RS"/>
        </w:rPr>
        <w:t xml:space="preserve">i </w:t>
      </w:r>
      <w:r w:rsidRPr="00F5183F">
        <w:rPr>
          <w:rFonts w:asciiTheme="minorHAnsi" w:hAnsiTheme="minorHAnsi" w:cstheme="minorHAnsi"/>
          <w:b/>
          <w:i/>
          <w:lang w:val="sr-Latn-RS"/>
        </w:rPr>
        <w:t>smrtnost</w:t>
      </w:r>
      <w:r w:rsidR="00F86F92" w:rsidRPr="00F5183F">
        <w:rPr>
          <w:rFonts w:asciiTheme="minorHAnsi" w:hAnsiTheme="minorHAnsi" w:cstheme="minorHAnsi"/>
          <w:b/>
          <w:i/>
          <w:lang w:val="sr-Latn-RS"/>
        </w:rPr>
        <w:t xml:space="preserve"> </w:t>
      </w:r>
      <w:r w:rsidR="007C2A38" w:rsidRPr="00F5183F">
        <w:rPr>
          <w:rFonts w:asciiTheme="minorHAnsi" w:hAnsiTheme="minorHAnsi" w:cstheme="minorHAnsi"/>
          <w:b/>
          <w:i/>
          <w:lang w:val="sr-Latn-RS"/>
        </w:rPr>
        <w:t xml:space="preserve">odojčadi </w:t>
      </w:r>
      <w:r w:rsidR="00F86F92" w:rsidRPr="00F5183F">
        <w:rPr>
          <w:rFonts w:asciiTheme="minorHAnsi" w:hAnsiTheme="minorHAnsi" w:cstheme="minorHAnsi"/>
          <w:b/>
          <w:i/>
          <w:lang w:val="sr-Latn-RS"/>
        </w:rPr>
        <w:t>u 201</w:t>
      </w:r>
      <w:r w:rsidR="007C2A38" w:rsidRPr="00F5183F">
        <w:rPr>
          <w:rFonts w:asciiTheme="minorHAnsi" w:hAnsiTheme="minorHAnsi" w:cstheme="minorHAnsi"/>
          <w:b/>
          <w:i/>
          <w:lang w:val="sr-Latn-RS"/>
        </w:rPr>
        <w:t>9</w:t>
      </w:r>
      <w:r w:rsidR="00F86F92" w:rsidRPr="00F5183F">
        <w:rPr>
          <w:rFonts w:asciiTheme="minorHAnsi" w:hAnsiTheme="minorHAnsi" w:cstheme="minorHAnsi"/>
          <w:b/>
          <w:i/>
          <w:lang w:val="sr-Latn-RS"/>
        </w:rPr>
        <w:t xml:space="preserve">. </w:t>
      </w:r>
      <w:r w:rsidR="007C2A38" w:rsidRPr="00F5183F">
        <w:rPr>
          <w:rFonts w:asciiTheme="minorHAnsi" w:hAnsiTheme="minorHAnsi" w:cstheme="minorHAnsi"/>
          <w:b/>
          <w:i/>
          <w:lang w:val="sr-Latn-RS"/>
        </w:rPr>
        <w:t>g</w:t>
      </w:r>
      <w:r w:rsidR="00F86F92" w:rsidRPr="00F5183F">
        <w:rPr>
          <w:rFonts w:asciiTheme="minorHAnsi" w:hAnsiTheme="minorHAnsi" w:cstheme="minorHAnsi"/>
          <w:b/>
          <w:i/>
          <w:lang w:val="sr-Latn-RS"/>
        </w:rPr>
        <w:t>odini</w:t>
      </w:r>
      <w:r w:rsidR="007C2A38" w:rsidRPr="00F5183F">
        <w:rPr>
          <w:rFonts w:asciiTheme="minorHAnsi" w:hAnsiTheme="minorHAnsi" w:cstheme="minorHAnsi"/>
          <w:b/>
          <w:i/>
          <w:lang w:val="sr-Latn-RS"/>
        </w:rPr>
        <w:t xml:space="preserve"> u opštini Bač deluju visoko</w:t>
      </w:r>
      <w:r w:rsidRPr="00F5183F">
        <w:rPr>
          <w:rFonts w:asciiTheme="minorHAnsi" w:hAnsiTheme="minorHAnsi" w:cstheme="minorHAnsi"/>
          <w:b/>
          <w:i/>
          <w:lang w:val="sr-Latn-RS"/>
        </w:rPr>
        <w:t xml:space="preserve"> </w:t>
      </w:r>
      <w:r w:rsidR="007C2A38" w:rsidRPr="00F5183F">
        <w:rPr>
          <w:rFonts w:asciiTheme="minorHAnsi" w:hAnsiTheme="minorHAnsi" w:cstheme="minorHAnsi"/>
          <w:b/>
          <w:i/>
          <w:lang w:val="sr-Latn-RS"/>
        </w:rPr>
        <w:t xml:space="preserve">i znatno su više od proseka za Srbiju. </w:t>
      </w:r>
      <w:r w:rsidR="007C2A38" w:rsidRPr="00F5183F">
        <w:rPr>
          <w:rFonts w:asciiTheme="minorHAnsi" w:hAnsiTheme="minorHAnsi" w:cstheme="minorHAnsi"/>
          <w:bCs/>
          <w:iCs/>
          <w:lang w:val="sr-Latn-RS"/>
        </w:rPr>
        <w:t xml:space="preserve">Na nivou opština, pogotovo manjih, nije zapravo odgovarajuće da se ovakvi indikatori prate na godišnjem nivou. Opština Bač je dobar primer da se obrazloži ovakav stav. Prema podacima vitalne statistike za 2019. godinu u opštini Bač je umrlo jedno odojče, a kako je </w:t>
      </w:r>
      <w:r w:rsidR="002E72FF" w:rsidRPr="00F5183F">
        <w:rPr>
          <w:rFonts w:asciiTheme="minorHAnsi" w:hAnsiTheme="minorHAnsi" w:cstheme="minorHAnsi"/>
          <w:bCs/>
          <w:iCs/>
          <w:lang w:val="sr-Latn-RS"/>
        </w:rPr>
        <w:t>živo</w:t>
      </w:r>
      <w:r w:rsidR="007C2A38" w:rsidRPr="00F5183F">
        <w:rPr>
          <w:rFonts w:asciiTheme="minorHAnsi" w:hAnsiTheme="minorHAnsi" w:cstheme="minorHAnsi"/>
          <w:bCs/>
          <w:iCs/>
          <w:lang w:val="sr-Latn-RS"/>
        </w:rPr>
        <w:t>rođeno svega 96</w:t>
      </w:r>
      <w:r w:rsidR="002E72FF" w:rsidRPr="00F5183F">
        <w:rPr>
          <w:rFonts w:asciiTheme="minorHAnsi" w:hAnsiTheme="minorHAnsi" w:cstheme="minorHAnsi"/>
          <w:bCs/>
          <w:iCs/>
          <w:lang w:val="sr-Latn-RS"/>
        </w:rPr>
        <w:t>,</w:t>
      </w:r>
      <w:r w:rsidR="007C2A38" w:rsidRPr="00F5183F">
        <w:rPr>
          <w:rStyle w:val="FootnoteReference"/>
          <w:rFonts w:asciiTheme="minorHAnsi" w:hAnsiTheme="minorHAnsi" w:cstheme="minorHAnsi"/>
          <w:bCs/>
          <w:iCs/>
          <w:lang w:val="sr-Latn-RS"/>
        </w:rPr>
        <w:footnoteReference w:id="23"/>
      </w:r>
      <w:r w:rsidR="002E72FF" w:rsidRPr="00F5183F">
        <w:rPr>
          <w:rFonts w:asciiTheme="minorHAnsi" w:hAnsiTheme="minorHAnsi" w:cstheme="minorHAnsi"/>
          <w:bCs/>
          <w:iCs/>
          <w:lang w:val="sr-Latn-RS"/>
        </w:rPr>
        <w:t xml:space="preserve"> stopa i neonatalne i smrtnosti odojčadi je iznosila preko 10 na 1</w:t>
      </w:r>
      <w:r w:rsidR="006034B1" w:rsidRPr="00F5183F">
        <w:rPr>
          <w:rFonts w:asciiTheme="minorHAnsi" w:hAnsiTheme="minorHAnsi" w:cstheme="minorHAnsi"/>
          <w:bCs/>
          <w:iCs/>
          <w:lang w:val="sr-Latn-RS"/>
        </w:rPr>
        <w:t>.</w:t>
      </w:r>
      <w:r w:rsidR="002E72FF" w:rsidRPr="00F5183F">
        <w:rPr>
          <w:rFonts w:asciiTheme="minorHAnsi" w:hAnsiTheme="minorHAnsi" w:cstheme="minorHAnsi"/>
          <w:bCs/>
          <w:iCs/>
          <w:lang w:val="sr-Latn-RS"/>
        </w:rPr>
        <w:t>000 živorođenih. U 2018. i 2017. nije umrlo ni jedno odojče pa su odgovarajuće stope bile 0.</w:t>
      </w:r>
      <w:r w:rsidR="00560779" w:rsidRPr="00F5183F">
        <w:rPr>
          <w:rStyle w:val="FootnoteReference"/>
          <w:rFonts w:asciiTheme="minorHAnsi" w:hAnsiTheme="minorHAnsi" w:cstheme="minorHAnsi"/>
          <w:bCs/>
          <w:iCs/>
          <w:lang w:val="sr-Latn-RS"/>
        </w:rPr>
        <w:footnoteReference w:id="24"/>
      </w:r>
      <w:r w:rsidR="002E72FF" w:rsidRPr="00F5183F">
        <w:rPr>
          <w:rFonts w:asciiTheme="minorHAnsi" w:hAnsiTheme="minorHAnsi" w:cstheme="minorHAnsi"/>
          <w:bCs/>
          <w:iCs/>
          <w:lang w:val="sr-Latn-RS"/>
        </w:rPr>
        <w:t xml:space="preserve"> U 2016. godini je umrlo </w:t>
      </w:r>
      <w:r w:rsidR="00560779" w:rsidRPr="00F5183F">
        <w:rPr>
          <w:rFonts w:asciiTheme="minorHAnsi" w:hAnsiTheme="minorHAnsi" w:cstheme="minorHAnsi"/>
          <w:bCs/>
          <w:iCs/>
          <w:lang w:val="sr-Latn-RS"/>
        </w:rPr>
        <w:t xml:space="preserve">3 odojčadi, a </w:t>
      </w:r>
      <w:r w:rsidR="002E72FF" w:rsidRPr="00F5183F">
        <w:rPr>
          <w:rFonts w:asciiTheme="minorHAnsi" w:hAnsiTheme="minorHAnsi" w:cstheme="minorHAnsi"/>
          <w:bCs/>
          <w:iCs/>
          <w:lang w:val="sr-Latn-RS"/>
        </w:rPr>
        <w:t xml:space="preserve"> </w:t>
      </w:r>
      <w:r w:rsidR="005F695B" w:rsidRPr="00F5183F">
        <w:rPr>
          <w:rFonts w:asciiTheme="minorHAnsi" w:hAnsiTheme="minorHAnsi" w:cstheme="minorHAnsi"/>
          <w:bCs/>
          <w:iCs/>
          <w:lang w:val="sr-Latn-RS"/>
        </w:rPr>
        <w:t>živorođeno je 101, pa je stopa smrtnosti odojčadi iznosila veoma visokih 29,7</w:t>
      </w:r>
      <w:r w:rsidR="00400277" w:rsidRPr="00F5183F">
        <w:rPr>
          <w:rFonts w:asciiTheme="minorHAnsi" w:hAnsiTheme="minorHAnsi" w:cstheme="minorHAnsi"/>
          <w:lang w:val="sr-Latn-RS"/>
        </w:rPr>
        <w:t>‰.</w:t>
      </w:r>
    </w:p>
    <w:p w14:paraId="33C46031" w14:textId="132BBAA2" w:rsidR="00400277" w:rsidRPr="00F5183F" w:rsidRDefault="00400277">
      <w:pPr>
        <w:rPr>
          <w:rFonts w:asciiTheme="minorHAnsi" w:hAnsiTheme="minorHAnsi" w:cstheme="minorHAnsi"/>
          <w:lang w:val="sr-Latn-RS"/>
        </w:rPr>
      </w:pPr>
    </w:p>
    <w:p w14:paraId="2F011156" w14:textId="52C0DFFA" w:rsidR="00E33C1C" w:rsidRPr="00F5183F" w:rsidRDefault="00E33C1C" w:rsidP="00E33C1C">
      <w:pPr>
        <w:jc w:val="both"/>
        <w:rPr>
          <w:lang w:val="sr-Latn-RS"/>
        </w:rPr>
      </w:pPr>
      <w:r w:rsidRPr="00F5183F">
        <w:rPr>
          <w:rFonts w:asciiTheme="minorHAnsi" w:hAnsiTheme="minorHAnsi" w:cstheme="minorHAnsi"/>
          <w:lang w:val="sr-Latn-RS"/>
        </w:rPr>
        <w:t xml:space="preserve">Stopa smrtnosti usled samoubistva na 100.000 stanovnika je </w:t>
      </w:r>
      <w:r w:rsidR="006034B1" w:rsidRPr="00F5183F">
        <w:rPr>
          <w:rFonts w:asciiTheme="minorHAnsi" w:hAnsiTheme="minorHAnsi" w:cstheme="minorHAnsi"/>
          <w:lang w:val="sr-Latn-RS"/>
        </w:rPr>
        <w:t xml:space="preserve">2019. godine iznosila </w:t>
      </w:r>
      <w:r w:rsidRPr="00F5183F">
        <w:rPr>
          <w:rFonts w:asciiTheme="minorHAnsi" w:hAnsiTheme="minorHAnsi" w:cstheme="minorHAnsi"/>
          <w:lang w:val="sr-Latn-RS"/>
        </w:rPr>
        <w:t xml:space="preserve"> </w:t>
      </w:r>
      <w:r w:rsidR="006034B1" w:rsidRPr="00F5183F">
        <w:rPr>
          <w:rFonts w:asciiTheme="minorHAnsi" w:hAnsiTheme="minorHAnsi" w:cstheme="minorHAnsi"/>
          <w:lang w:val="sr-Latn-RS"/>
        </w:rPr>
        <w:t>15 na 100.000 stanovnika, nezntatno iznad proseka za Republiku</w:t>
      </w:r>
      <w:r w:rsidRPr="00F5183F">
        <w:rPr>
          <w:rFonts w:asciiTheme="minorHAnsi" w:hAnsiTheme="minorHAnsi" w:cstheme="minorHAnsi"/>
          <w:lang w:val="sr-Latn-RS"/>
        </w:rPr>
        <w:t xml:space="preserve">. Tokom vremena ova stopa varira, a desetogodišnji prosek u opštini </w:t>
      </w:r>
      <w:r w:rsidR="006034B1" w:rsidRPr="00F5183F">
        <w:rPr>
          <w:rFonts w:asciiTheme="minorHAnsi" w:hAnsiTheme="minorHAnsi" w:cstheme="minorHAnsi"/>
          <w:lang w:val="sr-Latn-RS"/>
        </w:rPr>
        <w:t>Bač je dvostruko viši (34)</w:t>
      </w:r>
      <w:r w:rsidRPr="00F5183F">
        <w:rPr>
          <w:rFonts w:asciiTheme="minorHAnsi" w:hAnsiTheme="minorHAnsi" w:cstheme="minorHAnsi"/>
          <w:lang w:val="sr-Latn-RS"/>
        </w:rPr>
        <w:t xml:space="preserve"> </w:t>
      </w:r>
      <w:r w:rsidR="006034B1" w:rsidRPr="00F5183F">
        <w:rPr>
          <w:rFonts w:asciiTheme="minorHAnsi" w:hAnsiTheme="minorHAnsi" w:cstheme="minorHAnsi"/>
          <w:lang w:val="sr-Latn-RS"/>
        </w:rPr>
        <w:t xml:space="preserve">od </w:t>
      </w:r>
      <w:r w:rsidRPr="00F5183F">
        <w:rPr>
          <w:rFonts w:asciiTheme="minorHAnsi" w:hAnsiTheme="minorHAnsi" w:cstheme="minorHAnsi"/>
          <w:lang w:val="sr-Latn-RS"/>
        </w:rPr>
        <w:t>vrednosti koja je zabeležena u 2019. godini</w:t>
      </w:r>
      <w:r w:rsidR="00512C3D" w:rsidRPr="00F5183F">
        <w:rPr>
          <w:rFonts w:asciiTheme="minorHAnsi" w:hAnsiTheme="minorHAnsi" w:cstheme="minorHAnsi"/>
          <w:lang w:val="sr-Latn-RS"/>
        </w:rPr>
        <w:t xml:space="preserve"> i znatno je viši nego u drugim sredinama u Srbiji</w:t>
      </w:r>
      <w:r w:rsidRPr="00F5183F">
        <w:rPr>
          <w:rFonts w:asciiTheme="minorHAnsi" w:hAnsiTheme="minorHAnsi" w:cstheme="minorHAnsi"/>
          <w:lang w:val="sr-Latn-RS"/>
        </w:rPr>
        <w:t xml:space="preserve">. </w:t>
      </w:r>
    </w:p>
    <w:p w14:paraId="2606175D" w14:textId="24FEE2DB" w:rsidR="00E33C1C" w:rsidRPr="00F5183F" w:rsidRDefault="00E33C1C" w:rsidP="00E33C1C">
      <w:pPr>
        <w:rPr>
          <w:rFonts w:asciiTheme="minorHAnsi" w:hAnsiTheme="minorHAnsi" w:cstheme="minorHAnsi"/>
          <w:bCs/>
          <w:lang w:val="sr-Latn-RS"/>
        </w:rPr>
      </w:pPr>
      <w:r w:rsidRPr="00F5183F">
        <w:rPr>
          <w:rFonts w:asciiTheme="minorHAnsi" w:hAnsiTheme="minorHAnsi" w:cstheme="minorHAnsi"/>
          <w:bCs/>
          <w:lang w:val="sr-Latn-RS"/>
        </w:rPr>
        <w:lastRenderedPageBreak/>
        <w:t>Tabela 10. Izabrani indikatori smrtnosti, 2019.</w:t>
      </w:r>
    </w:p>
    <w:tbl>
      <w:tblPr>
        <w:tblW w:w="5000" w:type="pct"/>
        <w:tblLook w:val="04A0" w:firstRow="1" w:lastRow="0" w:firstColumn="1" w:lastColumn="0" w:noHBand="0" w:noVBand="1"/>
      </w:tblPr>
      <w:tblGrid>
        <w:gridCol w:w="5850"/>
        <w:gridCol w:w="668"/>
        <w:gridCol w:w="957"/>
        <w:gridCol w:w="1885"/>
      </w:tblGrid>
      <w:tr w:rsidR="00E33C1C" w:rsidRPr="00F5183F" w14:paraId="3C3A0231" w14:textId="77777777" w:rsidTr="0019182A">
        <w:trPr>
          <w:trHeight w:val="320"/>
        </w:trPr>
        <w:tc>
          <w:tcPr>
            <w:tcW w:w="3125" w:type="pct"/>
            <w:tcBorders>
              <w:top w:val="single" w:sz="4" w:space="0" w:color="auto"/>
              <w:left w:val="nil"/>
              <w:bottom w:val="single" w:sz="4" w:space="0" w:color="auto"/>
              <w:right w:val="nil"/>
            </w:tcBorders>
            <w:shd w:val="clear" w:color="auto" w:fill="auto"/>
            <w:noWrap/>
            <w:vAlign w:val="bottom"/>
            <w:hideMark/>
          </w:tcPr>
          <w:p w14:paraId="52BB0CB9" w14:textId="77777777" w:rsidR="00E33C1C" w:rsidRPr="00F5183F" w:rsidRDefault="00E33C1C" w:rsidP="0045668F">
            <w:pPr>
              <w:rPr>
                <w:rFonts w:asciiTheme="minorHAnsi" w:hAnsiTheme="minorHAnsi" w:cstheme="minorHAnsi"/>
                <w:bCs/>
                <w:color w:val="000000"/>
                <w:lang w:val="sr-Latn-RS"/>
              </w:rPr>
            </w:pPr>
            <w:r w:rsidRPr="00F5183F">
              <w:rPr>
                <w:rFonts w:asciiTheme="minorHAnsi" w:hAnsiTheme="minorHAnsi" w:cstheme="minorHAnsi"/>
                <w:bCs/>
                <w:color w:val="000000"/>
                <w:lang w:val="sr-Latn-RS"/>
              </w:rPr>
              <w:t> </w:t>
            </w:r>
          </w:p>
        </w:tc>
        <w:tc>
          <w:tcPr>
            <w:tcW w:w="868" w:type="pct"/>
            <w:gridSpan w:val="2"/>
            <w:tcBorders>
              <w:top w:val="single" w:sz="4" w:space="0" w:color="auto"/>
              <w:left w:val="nil"/>
              <w:bottom w:val="single" w:sz="4" w:space="0" w:color="auto"/>
              <w:right w:val="nil"/>
            </w:tcBorders>
            <w:shd w:val="clear" w:color="auto" w:fill="auto"/>
            <w:noWrap/>
            <w:vAlign w:val="center"/>
            <w:hideMark/>
          </w:tcPr>
          <w:p w14:paraId="6CE3E90D" w14:textId="230B546A" w:rsidR="00E33C1C" w:rsidRPr="00F5183F" w:rsidRDefault="0019182A" w:rsidP="0045668F">
            <w:pPr>
              <w:jc w:val="center"/>
              <w:rPr>
                <w:rFonts w:asciiTheme="minorHAnsi" w:hAnsiTheme="minorHAnsi" w:cstheme="minorHAnsi"/>
                <w:bCs/>
                <w:color w:val="000000"/>
                <w:lang w:val="sr-Latn-RS"/>
              </w:rPr>
            </w:pPr>
            <w:r w:rsidRPr="00F5183F">
              <w:rPr>
                <w:rFonts w:asciiTheme="minorHAnsi" w:hAnsiTheme="minorHAnsi" w:cstheme="minorHAnsi"/>
                <w:bCs/>
                <w:color w:val="000000"/>
                <w:lang w:val="sr-Latn-RS"/>
              </w:rPr>
              <w:t xml:space="preserve">       </w:t>
            </w:r>
            <w:r w:rsidR="00E33C1C" w:rsidRPr="00F5183F">
              <w:rPr>
                <w:rFonts w:asciiTheme="minorHAnsi" w:hAnsiTheme="minorHAnsi" w:cstheme="minorHAnsi"/>
                <w:bCs/>
                <w:color w:val="000000"/>
                <w:lang w:val="sr-Latn-RS"/>
              </w:rPr>
              <w:t>Bač</w:t>
            </w:r>
          </w:p>
        </w:tc>
        <w:tc>
          <w:tcPr>
            <w:tcW w:w="1008" w:type="pct"/>
            <w:tcBorders>
              <w:top w:val="single" w:sz="4" w:space="0" w:color="auto"/>
              <w:left w:val="nil"/>
              <w:bottom w:val="single" w:sz="4" w:space="0" w:color="auto"/>
              <w:right w:val="nil"/>
            </w:tcBorders>
            <w:shd w:val="clear" w:color="auto" w:fill="auto"/>
            <w:noWrap/>
            <w:vAlign w:val="center"/>
            <w:hideMark/>
          </w:tcPr>
          <w:p w14:paraId="7E707B60" w14:textId="5119B670" w:rsidR="00E33C1C" w:rsidRPr="00F5183F" w:rsidRDefault="0019182A" w:rsidP="0045668F">
            <w:pPr>
              <w:jc w:val="center"/>
              <w:rPr>
                <w:rFonts w:asciiTheme="minorHAnsi" w:hAnsiTheme="minorHAnsi" w:cstheme="minorHAnsi"/>
                <w:bCs/>
                <w:color w:val="000000"/>
                <w:lang w:val="sr-Latn-RS"/>
              </w:rPr>
            </w:pPr>
            <w:r w:rsidRPr="00F5183F">
              <w:rPr>
                <w:rFonts w:asciiTheme="minorHAnsi" w:hAnsiTheme="minorHAnsi" w:cstheme="minorHAnsi"/>
                <w:bCs/>
                <w:color w:val="000000"/>
                <w:lang w:val="sr-Latn-RS"/>
              </w:rPr>
              <w:t xml:space="preserve">Republika </w:t>
            </w:r>
            <w:r w:rsidR="00E33C1C" w:rsidRPr="00F5183F">
              <w:rPr>
                <w:rFonts w:asciiTheme="minorHAnsi" w:hAnsiTheme="minorHAnsi" w:cstheme="minorHAnsi"/>
                <w:bCs/>
                <w:color w:val="000000"/>
                <w:lang w:val="sr-Latn-RS"/>
              </w:rPr>
              <w:t>Srbija</w:t>
            </w:r>
          </w:p>
        </w:tc>
      </w:tr>
      <w:tr w:rsidR="00E33C1C" w:rsidRPr="00F5183F" w14:paraId="5B9D1300" w14:textId="77777777" w:rsidTr="0019182A">
        <w:trPr>
          <w:trHeight w:val="499"/>
        </w:trPr>
        <w:tc>
          <w:tcPr>
            <w:tcW w:w="3482" w:type="pct"/>
            <w:gridSpan w:val="2"/>
            <w:tcBorders>
              <w:top w:val="single" w:sz="4" w:space="0" w:color="auto"/>
            </w:tcBorders>
            <w:shd w:val="clear" w:color="auto" w:fill="auto"/>
            <w:vAlign w:val="center"/>
            <w:hideMark/>
          </w:tcPr>
          <w:p w14:paraId="1872F66F" w14:textId="04B22706" w:rsidR="00E33C1C" w:rsidRPr="00F5183F" w:rsidRDefault="00E33C1C" w:rsidP="0045668F">
            <w:pPr>
              <w:rPr>
                <w:rFonts w:asciiTheme="minorHAnsi" w:hAnsiTheme="minorHAnsi" w:cstheme="minorHAnsi"/>
                <w:lang w:val="sr-Latn-RS"/>
              </w:rPr>
            </w:pPr>
            <w:r w:rsidRPr="00F5183F">
              <w:rPr>
                <w:rFonts w:asciiTheme="minorHAnsi" w:hAnsiTheme="minorHAnsi" w:cstheme="minorHAnsi"/>
                <w:lang w:val="sr-Latn-RS"/>
              </w:rPr>
              <w:t>Stopa neonatalne smrtnosti 2019</w:t>
            </w:r>
            <w:r w:rsidR="0019182A" w:rsidRPr="00F5183F">
              <w:rPr>
                <w:rFonts w:asciiTheme="minorHAnsi" w:hAnsiTheme="minorHAnsi" w:cstheme="minorHAnsi"/>
                <w:lang w:val="sr-Latn-RS"/>
              </w:rPr>
              <w:t>.</w:t>
            </w:r>
            <w:r w:rsidRPr="00F5183F">
              <w:rPr>
                <w:rFonts w:asciiTheme="minorHAnsi" w:hAnsiTheme="minorHAnsi" w:cstheme="minorHAnsi"/>
                <w:lang w:val="sr-Latn-RS"/>
              </w:rPr>
              <w:t xml:space="preserve"> (u‰) </w:t>
            </w:r>
          </w:p>
        </w:tc>
        <w:tc>
          <w:tcPr>
            <w:tcW w:w="511" w:type="pct"/>
            <w:tcBorders>
              <w:top w:val="single" w:sz="4" w:space="0" w:color="auto"/>
            </w:tcBorders>
            <w:shd w:val="clear" w:color="auto" w:fill="auto"/>
            <w:noWrap/>
            <w:vAlign w:val="center"/>
            <w:hideMark/>
          </w:tcPr>
          <w:p w14:paraId="0D64B1A1" w14:textId="77777777" w:rsidR="00E33C1C" w:rsidRPr="00F5183F" w:rsidRDefault="00E33C1C" w:rsidP="0045668F">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10,4</w:t>
            </w:r>
          </w:p>
        </w:tc>
        <w:tc>
          <w:tcPr>
            <w:tcW w:w="1008" w:type="pct"/>
            <w:tcBorders>
              <w:top w:val="single" w:sz="4" w:space="0" w:color="auto"/>
            </w:tcBorders>
            <w:shd w:val="clear" w:color="auto" w:fill="auto"/>
            <w:noWrap/>
            <w:vAlign w:val="center"/>
            <w:hideMark/>
          </w:tcPr>
          <w:p w14:paraId="24EC9596" w14:textId="77777777" w:rsidR="00E33C1C" w:rsidRPr="00F5183F" w:rsidRDefault="00E33C1C" w:rsidP="0045668F">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3,6</w:t>
            </w:r>
          </w:p>
        </w:tc>
      </w:tr>
      <w:tr w:rsidR="00E33C1C" w:rsidRPr="00F5183F" w14:paraId="20E662DD" w14:textId="77777777" w:rsidTr="0019182A">
        <w:trPr>
          <w:trHeight w:val="431"/>
        </w:trPr>
        <w:tc>
          <w:tcPr>
            <w:tcW w:w="3482" w:type="pct"/>
            <w:gridSpan w:val="2"/>
            <w:shd w:val="clear" w:color="auto" w:fill="auto"/>
            <w:vAlign w:val="center"/>
          </w:tcPr>
          <w:p w14:paraId="33EED0BA" w14:textId="418FD3B7" w:rsidR="00E33C1C" w:rsidRPr="00F5183F" w:rsidRDefault="00E33C1C" w:rsidP="0045668F">
            <w:pPr>
              <w:rPr>
                <w:rFonts w:asciiTheme="minorHAnsi" w:hAnsiTheme="minorHAnsi" w:cstheme="minorHAnsi"/>
                <w:lang w:val="sr-Latn-RS"/>
              </w:rPr>
            </w:pPr>
            <w:r w:rsidRPr="00F5183F">
              <w:rPr>
                <w:rFonts w:asciiTheme="minorHAnsi" w:hAnsiTheme="minorHAnsi" w:cstheme="minorHAnsi"/>
                <w:lang w:val="sr-Latn-RS"/>
              </w:rPr>
              <w:t>Stopa neonatalne smrtnosti, prosek  2010-2019</w:t>
            </w:r>
            <w:r w:rsidR="0019182A" w:rsidRPr="00F5183F">
              <w:rPr>
                <w:rFonts w:asciiTheme="minorHAnsi" w:hAnsiTheme="minorHAnsi" w:cstheme="minorHAnsi"/>
                <w:lang w:val="sr-Latn-RS"/>
              </w:rPr>
              <w:t>.</w:t>
            </w:r>
            <w:r w:rsidRPr="00F5183F">
              <w:rPr>
                <w:rFonts w:asciiTheme="minorHAnsi" w:hAnsiTheme="minorHAnsi" w:cstheme="minorHAnsi"/>
                <w:lang w:val="sr-Latn-RS"/>
              </w:rPr>
              <w:t xml:space="preserve"> (u‰)</w:t>
            </w:r>
          </w:p>
        </w:tc>
        <w:tc>
          <w:tcPr>
            <w:tcW w:w="511" w:type="pct"/>
            <w:shd w:val="clear" w:color="auto" w:fill="auto"/>
            <w:noWrap/>
            <w:vAlign w:val="center"/>
          </w:tcPr>
          <w:p w14:paraId="6BCA2E5C" w14:textId="0EC02A09" w:rsidR="00E33C1C" w:rsidRPr="00F5183F" w:rsidRDefault="006034B1" w:rsidP="0045668F">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5</w:t>
            </w:r>
            <w:r w:rsidR="00E33C1C" w:rsidRPr="00F5183F">
              <w:rPr>
                <w:rFonts w:asciiTheme="minorHAnsi" w:hAnsiTheme="minorHAnsi" w:cstheme="minorHAnsi"/>
                <w:color w:val="000000"/>
                <w:lang w:val="sr-Latn-RS"/>
              </w:rPr>
              <w:t>,</w:t>
            </w:r>
            <w:r w:rsidR="008B0FAB" w:rsidRPr="00F5183F">
              <w:rPr>
                <w:rFonts w:asciiTheme="minorHAnsi" w:hAnsiTheme="minorHAnsi" w:cstheme="minorHAnsi"/>
                <w:color w:val="000000"/>
                <w:lang w:val="sr-Latn-RS"/>
              </w:rPr>
              <w:t>2</w:t>
            </w:r>
          </w:p>
        </w:tc>
        <w:tc>
          <w:tcPr>
            <w:tcW w:w="1008" w:type="pct"/>
            <w:shd w:val="clear" w:color="auto" w:fill="auto"/>
            <w:noWrap/>
            <w:vAlign w:val="center"/>
          </w:tcPr>
          <w:p w14:paraId="46616181" w14:textId="77777777" w:rsidR="00E33C1C" w:rsidRPr="00F5183F" w:rsidRDefault="00E33C1C" w:rsidP="0045668F">
            <w:pPr>
              <w:jc w:val="center"/>
              <w:rPr>
                <w:rFonts w:asciiTheme="minorHAnsi" w:hAnsiTheme="minorHAnsi" w:cstheme="minorHAnsi"/>
                <w:strike/>
                <w:color w:val="000000"/>
                <w:lang w:val="sr-Latn-RS"/>
              </w:rPr>
            </w:pPr>
          </w:p>
        </w:tc>
      </w:tr>
      <w:tr w:rsidR="00E33C1C" w:rsidRPr="00F5183F" w14:paraId="5424631C" w14:textId="77777777" w:rsidTr="0019182A">
        <w:trPr>
          <w:trHeight w:val="422"/>
        </w:trPr>
        <w:tc>
          <w:tcPr>
            <w:tcW w:w="3482" w:type="pct"/>
            <w:gridSpan w:val="2"/>
            <w:shd w:val="clear" w:color="auto" w:fill="auto"/>
            <w:vAlign w:val="center"/>
            <w:hideMark/>
          </w:tcPr>
          <w:p w14:paraId="416B7953" w14:textId="45B9F8B5" w:rsidR="00E33C1C" w:rsidRPr="00F5183F" w:rsidRDefault="00E33C1C" w:rsidP="0045668F">
            <w:pPr>
              <w:rPr>
                <w:rFonts w:asciiTheme="minorHAnsi" w:hAnsiTheme="minorHAnsi" w:cstheme="minorHAnsi"/>
                <w:lang w:val="sr-Latn-RS"/>
              </w:rPr>
            </w:pPr>
            <w:r w:rsidRPr="00F5183F">
              <w:rPr>
                <w:rFonts w:asciiTheme="minorHAnsi" w:hAnsiTheme="minorHAnsi" w:cstheme="minorHAnsi"/>
                <w:lang w:val="sr-Latn-RS"/>
              </w:rPr>
              <w:t>Stopa smrtnosti odojčadi 2019</w:t>
            </w:r>
            <w:r w:rsidR="0019182A" w:rsidRPr="00F5183F">
              <w:rPr>
                <w:rFonts w:asciiTheme="minorHAnsi" w:hAnsiTheme="minorHAnsi" w:cstheme="minorHAnsi"/>
                <w:lang w:val="sr-Latn-RS"/>
              </w:rPr>
              <w:t>.</w:t>
            </w:r>
            <w:r w:rsidRPr="00F5183F">
              <w:rPr>
                <w:rFonts w:asciiTheme="minorHAnsi" w:hAnsiTheme="minorHAnsi" w:cstheme="minorHAnsi"/>
                <w:lang w:val="sr-Latn-RS"/>
              </w:rPr>
              <w:t xml:space="preserve"> (u‰)</w:t>
            </w:r>
          </w:p>
        </w:tc>
        <w:tc>
          <w:tcPr>
            <w:tcW w:w="511" w:type="pct"/>
            <w:shd w:val="clear" w:color="auto" w:fill="auto"/>
            <w:noWrap/>
            <w:vAlign w:val="center"/>
            <w:hideMark/>
          </w:tcPr>
          <w:p w14:paraId="531A321A" w14:textId="77777777" w:rsidR="00E33C1C" w:rsidRPr="00F5183F" w:rsidRDefault="00E33C1C" w:rsidP="0045668F">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10,4</w:t>
            </w:r>
          </w:p>
        </w:tc>
        <w:tc>
          <w:tcPr>
            <w:tcW w:w="1008" w:type="pct"/>
            <w:shd w:val="clear" w:color="auto" w:fill="auto"/>
            <w:noWrap/>
            <w:vAlign w:val="center"/>
            <w:hideMark/>
          </w:tcPr>
          <w:p w14:paraId="2F00FE31" w14:textId="77777777" w:rsidR="00E33C1C" w:rsidRPr="00F5183F" w:rsidRDefault="00E33C1C" w:rsidP="0045668F">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4,8</w:t>
            </w:r>
          </w:p>
        </w:tc>
      </w:tr>
      <w:tr w:rsidR="00E33C1C" w:rsidRPr="00F5183F" w14:paraId="0C96747D" w14:textId="77777777" w:rsidTr="0019182A">
        <w:trPr>
          <w:trHeight w:val="415"/>
        </w:trPr>
        <w:tc>
          <w:tcPr>
            <w:tcW w:w="3482" w:type="pct"/>
            <w:gridSpan w:val="2"/>
            <w:shd w:val="clear" w:color="auto" w:fill="auto"/>
            <w:vAlign w:val="center"/>
          </w:tcPr>
          <w:p w14:paraId="12FB03B0" w14:textId="0A8720CF" w:rsidR="00E33C1C" w:rsidRPr="00F5183F" w:rsidRDefault="00E33C1C" w:rsidP="0045668F">
            <w:pPr>
              <w:rPr>
                <w:rFonts w:asciiTheme="minorHAnsi" w:hAnsiTheme="minorHAnsi" w:cstheme="minorHAnsi"/>
                <w:lang w:val="sr-Latn-RS"/>
              </w:rPr>
            </w:pPr>
            <w:r w:rsidRPr="00F5183F">
              <w:rPr>
                <w:rFonts w:asciiTheme="minorHAnsi" w:hAnsiTheme="minorHAnsi" w:cstheme="minorHAnsi"/>
                <w:lang w:val="sr-Latn-RS"/>
              </w:rPr>
              <w:t>Stopa smrtnosti odojčadi, prosek  2010-2019</w:t>
            </w:r>
            <w:r w:rsidR="0019182A" w:rsidRPr="00F5183F">
              <w:rPr>
                <w:rFonts w:asciiTheme="minorHAnsi" w:hAnsiTheme="minorHAnsi" w:cstheme="minorHAnsi"/>
                <w:lang w:val="sr-Latn-RS"/>
              </w:rPr>
              <w:t>.</w:t>
            </w:r>
            <w:r w:rsidRPr="00F5183F">
              <w:rPr>
                <w:rFonts w:asciiTheme="minorHAnsi" w:hAnsiTheme="minorHAnsi" w:cstheme="minorHAnsi"/>
                <w:lang w:val="sr-Latn-RS"/>
              </w:rPr>
              <w:t xml:space="preserve"> (u‰)</w:t>
            </w:r>
          </w:p>
        </w:tc>
        <w:tc>
          <w:tcPr>
            <w:tcW w:w="511" w:type="pct"/>
            <w:shd w:val="clear" w:color="auto" w:fill="auto"/>
            <w:noWrap/>
            <w:vAlign w:val="center"/>
          </w:tcPr>
          <w:p w14:paraId="42C93A99" w14:textId="60497A79" w:rsidR="00E33C1C" w:rsidRPr="00F5183F" w:rsidRDefault="00E33C1C" w:rsidP="0045668F">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7,</w:t>
            </w:r>
            <w:r w:rsidR="006034B1" w:rsidRPr="00F5183F">
              <w:rPr>
                <w:rFonts w:asciiTheme="minorHAnsi" w:hAnsiTheme="minorHAnsi" w:cstheme="minorHAnsi"/>
                <w:color w:val="000000"/>
                <w:lang w:val="sr-Latn-RS"/>
              </w:rPr>
              <w:t>5</w:t>
            </w:r>
          </w:p>
        </w:tc>
        <w:tc>
          <w:tcPr>
            <w:tcW w:w="1008" w:type="pct"/>
            <w:shd w:val="clear" w:color="auto" w:fill="auto"/>
            <w:noWrap/>
            <w:vAlign w:val="center"/>
          </w:tcPr>
          <w:p w14:paraId="3CD9DA3F" w14:textId="77777777" w:rsidR="00E33C1C" w:rsidRPr="00F5183F" w:rsidRDefault="00E33C1C" w:rsidP="0045668F">
            <w:pPr>
              <w:jc w:val="center"/>
              <w:rPr>
                <w:rFonts w:asciiTheme="minorHAnsi" w:hAnsiTheme="minorHAnsi" w:cstheme="minorHAnsi"/>
                <w:color w:val="000000"/>
                <w:lang w:val="sr-Latn-RS"/>
              </w:rPr>
            </w:pPr>
          </w:p>
        </w:tc>
      </w:tr>
      <w:tr w:rsidR="00E33C1C" w:rsidRPr="00F5183F" w14:paraId="7E8284F6" w14:textId="77777777" w:rsidTr="0019182A">
        <w:trPr>
          <w:trHeight w:val="553"/>
        </w:trPr>
        <w:tc>
          <w:tcPr>
            <w:tcW w:w="3482" w:type="pct"/>
            <w:gridSpan w:val="2"/>
            <w:tcBorders>
              <w:left w:val="nil"/>
              <w:bottom w:val="single" w:sz="4" w:space="0" w:color="auto"/>
              <w:right w:val="nil"/>
            </w:tcBorders>
            <w:shd w:val="clear" w:color="auto" w:fill="auto"/>
            <w:vAlign w:val="center"/>
          </w:tcPr>
          <w:p w14:paraId="02FF8B79" w14:textId="77777777" w:rsidR="00E33C1C" w:rsidRPr="00F5183F" w:rsidRDefault="00E33C1C" w:rsidP="0045668F">
            <w:pPr>
              <w:rPr>
                <w:rFonts w:asciiTheme="minorHAnsi" w:hAnsiTheme="minorHAnsi" w:cstheme="minorHAnsi"/>
                <w:lang w:val="sr-Latn-RS"/>
              </w:rPr>
            </w:pPr>
            <w:r w:rsidRPr="00F5183F">
              <w:rPr>
                <w:rFonts w:asciiTheme="minorHAnsi" w:hAnsiTheme="minorHAnsi" w:cstheme="minorHAnsi"/>
                <w:lang w:val="sr-Latn-RS"/>
              </w:rPr>
              <w:t>Stopa smrtnosti usled samoubistva na 100.000 stanovnika, 2019</w:t>
            </w:r>
          </w:p>
        </w:tc>
        <w:tc>
          <w:tcPr>
            <w:tcW w:w="511" w:type="pct"/>
            <w:tcBorders>
              <w:left w:val="nil"/>
              <w:bottom w:val="single" w:sz="4" w:space="0" w:color="auto"/>
              <w:right w:val="nil"/>
            </w:tcBorders>
            <w:shd w:val="clear" w:color="auto" w:fill="auto"/>
            <w:noWrap/>
            <w:vAlign w:val="center"/>
          </w:tcPr>
          <w:p w14:paraId="20964CF1" w14:textId="12A025AE" w:rsidR="00E33C1C" w:rsidRPr="00F5183F" w:rsidRDefault="006034B1" w:rsidP="0045668F">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15,0</w:t>
            </w:r>
          </w:p>
        </w:tc>
        <w:tc>
          <w:tcPr>
            <w:tcW w:w="1008" w:type="pct"/>
            <w:tcBorders>
              <w:left w:val="nil"/>
              <w:bottom w:val="single" w:sz="4" w:space="0" w:color="auto"/>
              <w:right w:val="nil"/>
            </w:tcBorders>
            <w:shd w:val="clear" w:color="auto" w:fill="auto"/>
            <w:noWrap/>
            <w:vAlign w:val="center"/>
          </w:tcPr>
          <w:p w14:paraId="411284EE" w14:textId="77777777" w:rsidR="00E33C1C" w:rsidRPr="00F5183F" w:rsidRDefault="00E33C1C" w:rsidP="0045668F">
            <w:pPr>
              <w:jc w:val="center"/>
              <w:rPr>
                <w:rFonts w:asciiTheme="minorHAnsi" w:hAnsiTheme="minorHAnsi" w:cstheme="minorHAnsi"/>
                <w:color w:val="000000"/>
                <w:lang w:val="sr-Latn-RS"/>
              </w:rPr>
            </w:pPr>
            <w:r w:rsidRPr="00F5183F">
              <w:rPr>
                <w:rFonts w:asciiTheme="minorHAnsi" w:hAnsiTheme="minorHAnsi" w:cstheme="minorHAnsi"/>
                <w:color w:val="000000"/>
                <w:lang w:val="sr-Latn-RS"/>
              </w:rPr>
              <w:t>13,5</w:t>
            </w:r>
          </w:p>
        </w:tc>
      </w:tr>
    </w:tbl>
    <w:p w14:paraId="7033BDC9" w14:textId="77777777" w:rsidR="00E33C1C" w:rsidRPr="00F5183F" w:rsidRDefault="00E33C1C" w:rsidP="00E33C1C">
      <w:pPr>
        <w:rPr>
          <w:rFonts w:asciiTheme="minorHAnsi" w:hAnsiTheme="minorHAnsi" w:cstheme="minorHAnsi"/>
          <w:sz w:val="20"/>
          <w:szCs w:val="20"/>
          <w:lang w:val="sr-Latn-RS"/>
        </w:rPr>
      </w:pPr>
      <w:r w:rsidRPr="00F5183F">
        <w:rPr>
          <w:rFonts w:asciiTheme="minorHAnsi" w:hAnsiTheme="minorHAnsi" w:cstheme="minorHAnsi"/>
          <w:sz w:val="20"/>
          <w:szCs w:val="20"/>
          <w:lang w:val="sr-Latn-RS"/>
        </w:rPr>
        <w:t>Izvor: DevInfo</w:t>
      </w:r>
    </w:p>
    <w:p w14:paraId="4C71B44E" w14:textId="6D15635A" w:rsidR="00400277" w:rsidRPr="00F5183F" w:rsidRDefault="00400277">
      <w:pPr>
        <w:rPr>
          <w:rFonts w:asciiTheme="minorHAnsi" w:hAnsiTheme="minorHAnsi" w:cstheme="minorHAnsi"/>
          <w:b/>
          <w:smallCaps/>
          <w:strike/>
          <w:lang w:val="sr-Latn-RS"/>
        </w:rPr>
      </w:pPr>
    </w:p>
    <w:p w14:paraId="76E7C837" w14:textId="6F50DF3F" w:rsidR="00AD1B83" w:rsidRPr="00F5183F" w:rsidRDefault="00AD1B83" w:rsidP="00AD1B83">
      <w:pPr>
        <w:pBdr>
          <w:top w:val="single" w:sz="4" w:space="1" w:color="auto"/>
          <w:left w:val="single" w:sz="4" w:space="4" w:color="auto"/>
          <w:bottom w:val="single" w:sz="4" w:space="1" w:color="auto"/>
          <w:right w:val="single" w:sz="4" w:space="4" w:color="auto"/>
        </w:pBdr>
        <w:rPr>
          <w:rFonts w:asciiTheme="minorHAnsi" w:hAnsiTheme="minorHAnsi"/>
          <w:b/>
          <w:smallCaps/>
          <w:lang w:val="sr-Latn-RS"/>
        </w:rPr>
      </w:pPr>
      <w:r w:rsidRPr="00F5183F">
        <w:rPr>
          <w:rFonts w:asciiTheme="minorHAnsi" w:hAnsiTheme="minorHAnsi"/>
          <w:b/>
          <w:smallCaps/>
          <w:lang w:val="sr-Latn-RS"/>
        </w:rPr>
        <w:t>Bo</w:t>
      </w:r>
      <w:r w:rsidR="00F516B7" w:rsidRPr="00F5183F">
        <w:rPr>
          <w:rFonts w:asciiTheme="minorHAnsi" w:hAnsiTheme="minorHAnsi"/>
          <w:b/>
          <w:smallCaps/>
          <w:lang w:val="sr-Latn-RS"/>
        </w:rPr>
        <w:t>ks</w:t>
      </w:r>
      <w:r w:rsidRPr="00F5183F">
        <w:rPr>
          <w:rFonts w:asciiTheme="minorHAnsi" w:hAnsiTheme="minorHAnsi"/>
          <w:b/>
          <w:smallCaps/>
          <w:lang w:val="sr-Latn-RS"/>
        </w:rPr>
        <w:t xml:space="preserve"> </w:t>
      </w:r>
      <w:r w:rsidR="00086EEB" w:rsidRPr="00F5183F">
        <w:rPr>
          <w:rFonts w:asciiTheme="minorHAnsi" w:hAnsiTheme="minorHAnsi"/>
          <w:b/>
          <w:smallCaps/>
          <w:lang w:val="sr-Latn-RS"/>
        </w:rPr>
        <w:t>9</w:t>
      </w:r>
      <w:r w:rsidRPr="00F5183F">
        <w:rPr>
          <w:rFonts w:asciiTheme="minorHAnsi" w:hAnsiTheme="minorHAnsi"/>
          <w:b/>
          <w:smallCaps/>
          <w:lang w:val="sr-Latn-RS"/>
        </w:rPr>
        <w:t>.</w:t>
      </w:r>
      <w:r w:rsidR="00785160" w:rsidRPr="00F5183F">
        <w:rPr>
          <w:rFonts w:asciiTheme="minorHAnsi" w:hAnsiTheme="minorHAnsi"/>
          <w:b/>
          <w:smallCaps/>
          <w:lang w:val="sr-Latn-RS"/>
        </w:rPr>
        <w:t xml:space="preserve"> NEDOSTACI ANALIZE SMRTNOSTI DECE U JEDNOJ GODINI NA LOKALNOM NIVOU </w:t>
      </w:r>
    </w:p>
    <w:p w14:paraId="6AA05CE4" w14:textId="77777777" w:rsidR="00AD1B83" w:rsidRPr="00F5183F" w:rsidRDefault="00AD1B83" w:rsidP="00AD1B83">
      <w:pPr>
        <w:pBdr>
          <w:top w:val="single" w:sz="4" w:space="1" w:color="auto"/>
          <w:left w:val="single" w:sz="4" w:space="4" w:color="auto"/>
          <w:bottom w:val="single" w:sz="4" w:space="1" w:color="auto"/>
          <w:right w:val="single" w:sz="4" w:space="4" w:color="auto"/>
        </w:pBdr>
        <w:rPr>
          <w:rFonts w:asciiTheme="minorHAnsi" w:hAnsiTheme="minorHAnsi"/>
          <w:b/>
          <w:smallCaps/>
          <w:lang w:val="sr-Latn-RS"/>
        </w:rPr>
      </w:pPr>
    </w:p>
    <w:p w14:paraId="50B1D82B" w14:textId="4C5D66FE" w:rsidR="00AD1B83" w:rsidRPr="00F5183F" w:rsidRDefault="00AD1B83" w:rsidP="00AD1B83">
      <w:pPr>
        <w:pBdr>
          <w:top w:val="single" w:sz="4" w:space="1" w:color="auto"/>
          <w:left w:val="single" w:sz="4" w:space="4" w:color="auto"/>
          <w:bottom w:val="single" w:sz="4" w:space="1" w:color="auto"/>
          <w:right w:val="single" w:sz="4" w:space="4" w:color="auto"/>
        </w:pBdr>
        <w:jc w:val="both"/>
        <w:rPr>
          <w:rFonts w:asciiTheme="minorHAnsi" w:hAnsiTheme="minorHAnsi" w:cstheme="minorHAnsi"/>
          <w:lang w:val="sr-Latn-RS"/>
        </w:rPr>
      </w:pPr>
      <w:r w:rsidRPr="00F5183F">
        <w:rPr>
          <w:rFonts w:asciiTheme="minorHAnsi" w:hAnsiTheme="minorHAnsi" w:cstheme="minorHAnsi"/>
          <w:lang w:val="sr-Latn-RS"/>
        </w:rPr>
        <w:t xml:space="preserve">U uslovima kada su apsolutni brojevi mali, a pojave retke definisanje indikatora na godišnjem nivou može da bude zavaravajuće. U slučaju da jedno odojče umre, ako je samo 100 živorođenih, stopa izražena u ‰ je 10.  U prethodnoj ili narednoj godini, ukoliko ne umre ni jedno odojče stopa je nula.    </w:t>
      </w:r>
      <w:r w:rsidR="00E33C1C" w:rsidRPr="00F5183F">
        <w:rPr>
          <w:rFonts w:asciiTheme="minorHAnsi" w:hAnsiTheme="minorHAnsi" w:cstheme="minorHAnsi"/>
          <w:lang w:val="sr-Latn-RS"/>
        </w:rPr>
        <w:t>Višegodišnji prosek je svakako bolji indikator.</w:t>
      </w:r>
    </w:p>
    <w:p w14:paraId="40C8C6B7" w14:textId="77777777" w:rsidR="005F695B" w:rsidRPr="00F5183F" w:rsidRDefault="005F695B" w:rsidP="005F695B">
      <w:pPr>
        <w:rPr>
          <w:rFonts w:asciiTheme="minorHAnsi" w:hAnsiTheme="minorHAnsi"/>
          <w:i/>
          <w:highlight w:val="green"/>
          <w:u w:val="single"/>
          <w:lang w:val="sr-Latn-RS"/>
        </w:rPr>
      </w:pPr>
    </w:p>
    <w:p w14:paraId="126B4C34" w14:textId="23E16AEC" w:rsidR="00E33C1C" w:rsidRPr="00F5183F" w:rsidRDefault="00E33C1C" w:rsidP="00E33C1C">
      <w:pPr>
        <w:rPr>
          <w:rFonts w:asciiTheme="minorHAnsi" w:hAnsiTheme="minorHAnsi" w:cstheme="minorHAnsi"/>
          <w:lang w:val="sr-Latn-RS"/>
        </w:rPr>
      </w:pPr>
      <w:r w:rsidRPr="00F5183F">
        <w:rPr>
          <w:rFonts w:asciiTheme="minorHAnsi" w:hAnsiTheme="minorHAnsi"/>
          <w:lang w:val="sr-Latn-RS"/>
        </w:rPr>
        <w:t xml:space="preserve">Grafikon </w:t>
      </w:r>
      <w:r w:rsidR="00994EF9" w:rsidRPr="00F5183F">
        <w:rPr>
          <w:rFonts w:asciiTheme="minorHAnsi" w:hAnsiTheme="minorHAnsi"/>
          <w:lang w:val="sr-Latn-RS"/>
        </w:rPr>
        <w:t>6</w:t>
      </w:r>
      <w:r w:rsidRPr="00F5183F">
        <w:rPr>
          <w:rFonts w:asciiTheme="minorHAnsi" w:hAnsiTheme="minorHAnsi"/>
          <w:lang w:val="sr-Latn-RS"/>
        </w:rPr>
        <w:t xml:space="preserve">. Stopa smrtnosti odojčadi, 2010-2019. </w:t>
      </w:r>
      <w:r w:rsidRPr="00F5183F">
        <w:rPr>
          <w:rFonts w:asciiTheme="minorHAnsi" w:hAnsiTheme="minorHAnsi" w:cstheme="minorHAnsi"/>
          <w:lang w:val="sr-Latn-RS"/>
        </w:rPr>
        <w:t>(u‰)</w:t>
      </w:r>
    </w:p>
    <w:p w14:paraId="492216D1" w14:textId="3BD239BA" w:rsidR="00CD6EAD" w:rsidRPr="00F5183F" w:rsidRDefault="00CD6EAD" w:rsidP="00E33C1C">
      <w:pPr>
        <w:rPr>
          <w:rFonts w:asciiTheme="minorHAnsi" w:hAnsiTheme="minorHAnsi" w:cstheme="minorHAnsi"/>
          <w:lang w:val="sr-Latn-RS"/>
        </w:rPr>
      </w:pPr>
    </w:p>
    <w:p w14:paraId="5EFFC33B" w14:textId="77777777" w:rsidR="00CD6EAD" w:rsidRPr="00F5183F" w:rsidRDefault="00CD6EAD" w:rsidP="007D2A04">
      <w:pPr>
        <w:rPr>
          <w:rFonts w:asciiTheme="minorHAnsi" w:hAnsiTheme="minorHAnsi" w:cstheme="minorHAnsi"/>
          <w:lang w:val="sr-Latn-RS"/>
        </w:rPr>
      </w:pPr>
      <w:r w:rsidRPr="00F5183F">
        <w:rPr>
          <w:noProof/>
          <w:lang w:val="sr-Latn-RS"/>
        </w:rPr>
        <w:drawing>
          <wp:inline distT="0" distB="0" distL="0" distR="0" wp14:anchorId="21630E6D" wp14:editId="702D26F0">
            <wp:extent cx="4572000" cy="2743200"/>
            <wp:effectExtent l="0" t="0" r="12700" b="12700"/>
            <wp:docPr id="3" name="Chart 3">
              <a:extLst xmlns:a="http://schemas.openxmlformats.org/drawingml/2006/main">
                <a:ext uri="{FF2B5EF4-FFF2-40B4-BE49-F238E27FC236}">
                  <a16:creationId xmlns:a16="http://schemas.microsoft.com/office/drawing/2014/main" id="{E2859132-9FF7-E445-83A6-09BB89849C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75C098F" w14:textId="17EFA0FD" w:rsidR="007D2A04" w:rsidRPr="00F5183F" w:rsidRDefault="007D2A04" w:rsidP="007D2A04">
      <w:pPr>
        <w:rPr>
          <w:rFonts w:asciiTheme="minorHAnsi" w:hAnsiTheme="minorHAnsi" w:cstheme="minorHAnsi"/>
          <w:lang w:val="sr-Latn-RS"/>
        </w:rPr>
      </w:pPr>
      <w:r w:rsidRPr="00F5183F">
        <w:rPr>
          <w:rFonts w:asciiTheme="minorHAnsi" w:hAnsiTheme="minorHAnsi" w:cstheme="minorHAnsi"/>
          <w:sz w:val="20"/>
          <w:szCs w:val="20"/>
          <w:lang w:val="sr-Latn-RS"/>
        </w:rPr>
        <w:t>Izvor: DevInfo</w:t>
      </w:r>
    </w:p>
    <w:p w14:paraId="39572D79" w14:textId="10C4DB2F" w:rsidR="00E33C1C" w:rsidRPr="00F5183F" w:rsidRDefault="00E33C1C" w:rsidP="00E33C1C">
      <w:pPr>
        <w:rPr>
          <w:rFonts w:asciiTheme="minorHAnsi" w:hAnsiTheme="minorHAnsi" w:cstheme="minorHAnsi"/>
          <w:b/>
          <w:smallCaps/>
          <w:strike/>
          <w:lang w:val="sr-Latn-RS"/>
        </w:rPr>
      </w:pPr>
    </w:p>
    <w:p w14:paraId="03F520CD" w14:textId="2677618F" w:rsidR="00E33C1C" w:rsidRPr="00F5183F" w:rsidRDefault="00E33C1C" w:rsidP="00E33C1C">
      <w:pPr>
        <w:jc w:val="both"/>
        <w:rPr>
          <w:rFonts w:asciiTheme="minorHAnsi" w:hAnsiTheme="minorHAnsi"/>
          <w:lang w:val="sr-Latn-RS"/>
        </w:rPr>
      </w:pPr>
      <w:r w:rsidRPr="00F5183F">
        <w:rPr>
          <w:rFonts w:asciiTheme="minorHAnsi" w:hAnsiTheme="minorHAnsi"/>
          <w:lang w:val="sr-Latn-RS"/>
        </w:rPr>
        <w:t xml:space="preserve">Incidenca tuberkuloze na 100.000 stanovnika u opštini </w:t>
      </w:r>
      <w:r w:rsidR="006034B1" w:rsidRPr="00F5183F">
        <w:rPr>
          <w:rFonts w:asciiTheme="minorHAnsi" w:hAnsiTheme="minorHAnsi"/>
          <w:lang w:val="sr-Latn-RS"/>
        </w:rPr>
        <w:t>Bač</w:t>
      </w:r>
      <w:r w:rsidRPr="00F5183F">
        <w:rPr>
          <w:rFonts w:asciiTheme="minorHAnsi" w:hAnsiTheme="minorHAnsi"/>
          <w:lang w:val="sr-Latn-RS"/>
        </w:rPr>
        <w:t xml:space="preserve"> je </w:t>
      </w:r>
      <w:r w:rsidR="003D18A1" w:rsidRPr="00F5183F">
        <w:rPr>
          <w:rFonts w:asciiTheme="minorHAnsi" w:hAnsiTheme="minorHAnsi"/>
          <w:lang w:val="sr-Latn-RS"/>
        </w:rPr>
        <w:t xml:space="preserve">2019. godine bila </w:t>
      </w:r>
      <w:r w:rsidR="006034B1" w:rsidRPr="00F5183F">
        <w:rPr>
          <w:rFonts w:asciiTheme="minorHAnsi" w:hAnsiTheme="minorHAnsi"/>
          <w:lang w:val="sr-Latn-RS"/>
        </w:rPr>
        <w:t xml:space="preserve">nešto </w:t>
      </w:r>
      <w:r w:rsidRPr="00F5183F">
        <w:rPr>
          <w:rFonts w:asciiTheme="minorHAnsi" w:hAnsiTheme="minorHAnsi"/>
          <w:lang w:val="sr-Latn-RS"/>
        </w:rPr>
        <w:t>veća nego u Republici (</w:t>
      </w:r>
      <w:r w:rsidR="006034B1" w:rsidRPr="00F5183F">
        <w:rPr>
          <w:rFonts w:asciiTheme="minorHAnsi" w:hAnsiTheme="minorHAnsi"/>
          <w:lang w:val="sr-Latn-RS"/>
        </w:rPr>
        <w:t>15</w:t>
      </w:r>
      <w:r w:rsidR="00512C3D" w:rsidRPr="00F5183F">
        <w:rPr>
          <w:rFonts w:asciiTheme="minorHAnsi" w:hAnsiTheme="minorHAnsi"/>
          <w:lang w:val="sr-Latn-RS"/>
        </w:rPr>
        <w:t>,3</w:t>
      </w:r>
      <w:r w:rsidRPr="00F5183F">
        <w:rPr>
          <w:rFonts w:asciiTheme="minorHAnsi" w:hAnsiTheme="minorHAnsi"/>
          <w:lang w:val="sr-Latn-RS"/>
        </w:rPr>
        <w:t xml:space="preserve"> prema svega 9, respektivno).  Za razliku od Republike u kojoj se vrednost ovog indikatora </w:t>
      </w:r>
      <w:r w:rsidR="006034B1" w:rsidRPr="00F5183F">
        <w:rPr>
          <w:rFonts w:asciiTheme="minorHAnsi" w:hAnsiTheme="minorHAnsi"/>
          <w:lang w:val="sr-Latn-RS"/>
        </w:rPr>
        <w:t xml:space="preserve">tokom vremena </w:t>
      </w:r>
      <w:r w:rsidRPr="00F5183F">
        <w:rPr>
          <w:rFonts w:asciiTheme="minorHAnsi" w:hAnsiTheme="minorHAnsi"/>
          <w:lang w:val="sr-Latn-RS"/>
        </w:rPr>
        <w:t xml:space="preserve">smanjuje, u opštini </w:t>
      </w:r>
      <w:r w:rsidR="00BC25D7" w:rsidRPr="00F5183F">
        <w:rPr>
          <w:rFonts w:asciiTheme="minorHAnsi" w:hAnsiTheme="minorHAnsi"/>
          <w:lang w:val="sr-Latn-RS"/>
        </w:rPr>
        <w:t>Bač</w:t>
      </w:r>
      <w:r w:rsidRPr="00F5183F">
        <w:rPr>
          <w:rFonts w:asciiTheme="minorHAnsi" w:hAnsiTheme="minorHAnsi"/>
          <w:lang w:val="sr-Latn-RS"/>
        </w:rPr>
        <w:t xml:space="preserve"> vrednosti variraju, a desetogodišnji prosek iznosi </w:t>
      </w:r>
      <w:r w:rsidR="006034B1" w:rsidRPr="00F5183F">
        <w:rPr>
          <w:rFonts w:asciiTheme="minorHAnsi" w:hAnsiTheme="minorHAnsi"/>
          <w:lang w:val="sr-Latn-RS"/>
        </w:rPr>
        <w:t>19</w:t>
      </w:r>
      <w:r w:rsidRPr="00F5183F">
        <w:rPr>
          <w:rFonts w:asciiTheme="minorHAnsi" w:hAnsiTheme="minorHAnsi"/>
          <w:lang w:val="sr-Latn-RS"/>
        </w:rPr>
        <w:t>.</w:t>
      </w:r>
    </w:p>
    <w:p w14:paraId="61032E88" w14:textId="77777777" w:rsidR="00E33C1C" w:rsidRPr="00F5183F" w:rsidRDefault="00E33C1C" w:rsidP="00E33C1C">
      <w:pPr>
        <w:rPr>
          <w:rFonts w:asciiTheme="minorHAnsi" w:hAnsiTheme="minorHAnsi"/>
          <w:b/>
          <w:smallCaps/>
          <w:strike/>
          <w:lang w:val="sr-Latn-RS"/>
        </w:rPr>
      </w:pPr>
    </w:p>
    <w:sectPr w:rsidR="00E33C1C" w:rsidRPr="00F5183F" w:rsidSect="00B53F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FBAA" w14:textId="77777777" w:rsidR="00102390" w:rsidRDefault="00102390" w:rsidP="008F5193">
      <w:r>
        <w:separator/>
      </w:r>
    </w:p>
  </w:endnote>
  <w:endnote w:type="continuationSeparator" w:id="0">
    <w:p w14:paraId="7AFAF81A" w14:textId="77777777" w:rsidR="00102390" w:rsidRDefault="00102390" w:rsidP="008F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altName w:val="﷽﷽﷽﷽﷽﷽Ą"/>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75239"/>
      <w:docPartObj>
        <w:docPartGallery w:val="Page Numbers (Bottom of Page)"/>
        <w:docPartUnique/>
      </w:docPartObj>
    </w:sdtPr>
    <w:sdtEndPr>
      <w:rPr>
        <w:rStyle w:val="PageNumber"/>
      </w:rPr>
    </w:sdtEndPr>
    <w:sdtContent>
      <w:p w14:paraId="5C52ED0C" w14:textId="27813DC9" w:rsidR="00E44774" w:rsidRDefault="00E44774" w:rsidP="007C2A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A74D71" w14:textId="77777777" w:rsidR="00E44774" w:rsidRDefault="00E44774" w:rsidP="001D45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824774"/>
      <w:docPartObj>
        <w:docPartGallery w:val="Page Numbers (Bottom of Page)"/>
        <w:docPartUnique/>
      </w:docPartObj>
    </w:sdtPr>
    <w:sdtEndPr>
      <w:rPr>
        <w:rStyle w:val="PageNumber"/>
      </w:rPr>
    </w:sdtEndPr>
    <w:sdtContent>
      <w:p w14:paraId="17E340A6" w14:textId="2FCA9B65" w:rsidR="00E44774" w:rsidRDefault="00E44774" w:rsidP="007C2A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3C4660C" w14:textId="77777777" w:rsidR="00E44774" w:rsidRDefault="00E44774" w:rsidP="001D458D">
    <w:pPr>
      <w:pStyle w:val="Footer"/>
      <w:ind w:right="360"/>
    </w:pPr>
  </w:p>
  <w:p w14:paraId="508BC030" w14:textId="77777777" w:rsidR="00E44774" w:rsidRDefault="00E44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5FB7" w14:textId="77777777" w:rsidR="00102390" w:rsidRDefault="00102390" w:rsidP="008F5193">
      <w:r>
        <w:separator/>
      </w:r>
    </w:p>
  </w:footnote>
  <w:footnote w:type="continuationSeparator" w:id="0">
    <w:p w14:paraId="44C8AD9A" w14:textId="77777777" w:rsidR="00102390" w:rsidRDefault="00102390" w:rsidP="008F5193">
      <w:r>
        <w:continuationSeparator/>
      </w:r>
    </w:p>
  </w:footnote>
  <w:footnote w:id="1">
    <w:p w14:paraId="5089D858" w14:textId="3C620845" w:rsidR="00E44774" w:rsidRPr="008A5189" w:rsidRDefault="00E44774" w:rsidP="00FB0646">
      <w:pPr>
        <w:pStyle w:val="NormalWeb"/>
        <w:shd w:val="clear" w:color="auto" w:fill="FFFFFF"/>
        <w:spacing w:before="0" w:beforeAutospacing="0" w:after="0" w:afterAutospacing="0"/>
        <w:jc w:val="both"/>
        <w:rPr>
          <w:rFonts w:asciiTheme="minorHAnsi" w:eastAsia="Times New Roman" w:hAnsiTheme="minorHAnsi"/>
          <w:color w:val="000000" w:themeColor="text1"/>
          <w:sz w:val="20"/>
          <w:szCs w:val="20"/>
          <w:lang w:val="sr-Latn-RS" w:eastAsia="en-GB"/>
        </w:rPr>
      </w:pPr>
      <w:r w:rsidRPr="00C45ED4">
        <w:rPr>
          <w:rStyle w:val="FootnoteReference"/>
          <w:rFonts w:asciiTheme="minorHAnsi" w:hAnsiTheme="minorHAnsi"/>
          <w:sz w:val="20"/>
          <w:szCs w:val="20"/>
        </w:rPr>
        <w:footnoteRef/>
      </w:r>
      <w:r w:rsidRPr="00C45ED4">
        <w:rPr>
          <w:rFonts w:asciiTheme="minorHAnsi" w:hAnsiTheme="minorHAnsi"/>
          <w:sz w:val="20"/>
          <w:szCs w:val="20"/>
        </w:rPr>
        <w:t xml:space="preserve"> </w:t>
      </w:r>
      <w:r w:rsidRPr="00C45ED4">
        <w:rPr>
          <w:rFonts w:asciiTheme="minorHAnsi" w:hAnsiTheme="minorHAnsi"/>
          <w:sz w:val="20"/>
          <w:szCs w:val="20"/>
          <w:lang w:val="sr-Latn-RS"/>
        </w:rPr>
        <w:t>Pojam socijalna zaštita u ovom dokumentu</w:t>
      </w:r>
      <w:r>
        <w:rPr>
          <w:rFonts w:asciiTheme="minorHAnsi" w:hAnsiTheme="minorHAnsi"/>
          <w:sz w:val="20"/>
          <w:szCs w:val="20"/>
          <w:lang w:val="sr-Latn-RS"/>
        </w:rPr>
        <w:t xml:space="preserve"> se koristi u skladu sa  </w:t>
      </w:r>
      <w:r w:rsidR="00102390">
        <w:fldChar w:fldCharType="begin"/>
      </w:r>
      <w:r w:rsidR="00102390">
        <w:instrText xml:space="preserve"> HYPERLINK "https://www.pravno-informacioni-sistem.rs/SlGlasnikPortal/eli/rep/sgrs/ministarstva/pravilnik/2016/16/1/reg" </w:instrText>
      </w:r>
      <w:r w:rsidR="00102390">
        <w:fldChar w:fldCharType="separate"/>
      </w:r>
      <w:r w:rsidRPr="00C45ED4">
        <w:rPr>
          <w:rStyle w:val="Hyperlink"/>
          <w:rFonts w:asciiTheme="minorHAnsi" w:eastAsia="Times New Roman" w:hAnsiTheme="minorHAnsi" w:cs="Arial"/>
          <w:i/>
          <w:iCs/>
          <w:sz w:val="20"/>
          <w:szCs w:val="20"/>
          <w:lang w:val="sr-Latn-RS" w:eastAsia="en-GB"/>
        </w:rPr>
        <w:t>Pravilnik</w:t>
      </w:r>
      <w:r>
        <w:rPr>
          <w:rStyle w:val="Hyperlink"/>
          <w:rFonts w:asciiTheme="minorHAnsi" w:eastAsia="Times New Roman" w:hAnsiTheme="minorHAnsi" w:cs="Arial"/>
          <w:i/>
          <w:iCs/>
          <w:sz w:val="20"/>
          <w:szCs w:val="20"/>
          <w:lang w:val="sr-Latn-RS" w:eastAsia="en-GB"/>
        </w:rPr>
        <w:t>om</w:t>
      </w:r>
      <w:r w:rsidRPr="00C45ED4">
        <w:rPr>
          <w:rStyle w:val="Hyperlink"/>
          <w:rFonts w:asciiTheme="minorHAnsi" w:eastAsia="Times New Roman" w:hAnsiTheme="minorHAnsi" w:cs="Arial"/>
          <w:i/>
          <w:iCs/>
          <w:sz w:val="20"/>
          <w:szCs w:val="20"/>
          <w:lang w:val="sr-Latn-RS" w:eastAsia="en-GB"/>
        </w:rPr>
        <w:t xml:space="preserve"> </w:t>
      </w:r>
      <w:r w:rsidRPr="00C45ED4">
        <w:rPr>
          <w:rStyle w:val="Hyperlink"/>
          <w:rFonts w:asciiTheme="minorHAnsi" w:hAnsiTheme="minorHAnsi" w:cs="Arial"/>
          <w:i/>
          <w:iCs/>
          <w:sz w:val="20"/>
          <w:szCs w:val="20"/>
          <w:lang w:val="sr-Latn-RS"/>
        </w:rPr>
        <w:t>o standardnom klasifikacionom okviru i kontnom planu za budžetski sistem</w:t>
      </w:r>
      <w:r w:rsidR="00102390">
        <w:rPr>
          <w:rStyle w:val="Hyperlink"/>
          <w:rFonts w:asciiTheme="minorHAnsi" w:hAnsiTheme="minorHAnsi" w:cs="Arial"/>
          <w:i/>
          <w:iCs/>
          <w:sz w:val="20"/>
          <w:szCs w:val="20"/>
          <w:lang w:val="sr-Latn-RS"/>
        </w:rPr>
        <w:fldChar w:fldCharType="end"/>
      </w:r>
      <w:r>
        <w:rPr>
          <w:rFonts w:asciiTheme="minorHAnsi" w:eastAsia="Times New Roman" w:hAnsiTheme="minorHAnsi" w:cs="Arial"/>
          <w:i/>
          <w:iCs/>
          <w:color w:val="000000" w:themeColor="text1"/>
          <w:sz w:val="20"/>
          <w:szCs w:val="20"/>
          <w:lang w:val="sr-Latn-RS" w:eastAsia="en-GB"/>
        </w:rPr>
        <w:t xml:space="preserve">. </w:t>
      </w:r>
      <w:r w:rsidRPr="00875314">
        <w:rPr>
          <w:rFonts w:asciiTheme="minorHAnsi" w:eastAsia="Times New Roman" w:hAnsiTheme="minorHAnsi" w:cs="Arial"/>
          <w:color w:val="000000" w:themeColor="text1"/>
          <w:sz w:val="20"/>
          <w:szCs w:val="20"/>
          <w:lang w:val="sr-Latn-RS" w:eastAsia="en-GB"/>
        </w:rPr>
        <w:t>Ovaj pojam je širi od onoga koji se koristi prema Zakonu o socijalnoj zaštiti („Službeni glasnik RS”, br. 24/11), ali je uži od koncepta koji prema Evrostatu uključuje i zdravstvenu zaštitu.</w:t>
      </w:r>
    </w:p>
  </w:footnote>
  <w:footnote w:id="2">
    <w:p w14:paraId="08B221FC" w14:textId="5C31A7EE" w:rsidR="00E44774" w:rsidRPr="00875314" w:rsidRDefault="00E44774" w:rsidP="00417FA3">
      <w:pPr>
        <w:pStyle w:val="FootnoteText"/>
        <w:rPr>
          <w:sz w:val="20"/>
          <w:szCs w:val="20"/>
          <w:lang w:val="sr-Latn-RS"/>
        </w:rPr>
      </w:pPr>
      <w:r w:rsidRPr="00875314">
        <w:rPr>
          <w:rStyle w:val="FootnoteReference"/>
          <w:sz w:val="20"/>
          <w:szCs w:val="20"/>
          <w:lang w:val="sr-Latn-RS"/>
        </w:rPr>
        <w:footnoteRef/>
      </w:r>
      <w:r w:rsidRPr="00875314">
        <w:rPr>
          <w:sz w:val="20"/>
          <w:szCs w:val="20"/>
          <w:lang w:val="sr-Latn-RS"/>
        </w:rPr>
        <w:t xml:space="preserve"> </w:t>
      </w:r>
      <w:r w:rsidRPr="00875314">
        <w:rPr>
          <w:rFonts w:eastAsia="Times New Roman" w:cs="Arial"/>
          <w:color w:val="000000" w:themeColor="text1"/>
          <w:sz w:val="20"/>
          <w:szCs w:val="20"/>
          <w:lang w:val="sr-Latn-RS" w:eastAsia="en-GB"/>
        </w:rPr>
        <w:t xml:space="preserve">Zakon </w:t>
      </w:r>
      <w:r w:rsidRPr="00875314">
        <w:rPr>
          <w:rFonts w:eastAsia="Times New Roman" w:cs="Arial"/>
          <w:color w:val="000000" w:themeColor="text1"/>
          <w:sz w:val="20"/>
          <w:szCs w:val="20"/>
          <w:lang w:val="sr-Latn-RS" w:eastAsia="en-GB"/>
        </w:rPr>
        <w:t xml:space="preserve">o socijalnoj zaštiti </w:t>
      </w:r>
      <w:r w:rsidRPr="00875314">
        <w:rPr>
          <w:sz w:val="20"/>
          <w:szCs w:val="20"/>
          <w:lang w:val="sr-Latn-RS"/>
        </w:rPr>
        <w:t>„Službeni glasnik RS”, br. 24/11.</w:t>
      </w:r>
    </w:p>
  </w:footnote>
  <w:footnote w:id="3">
    <w:p w14:paraId="2883B624" w14:textId="25419317" w:rsidR="00E44774" w:rsidRPr="00522A00" w:rsidRDefault="00E44774">
      <w:pPr>
        <w:pStyle w:val="FootnoteText"/>
        <w:rPr>
          <w:sz w:val="20"/>
          <w:szCs w:val="20"/>
          <w:lang w:val="sr-Latn-RS"/>
        </w:rPr>
      </w:pPr>
      <w:r w:rsidRPr="00FA3AC0">
        <w:rPr>
          <w:rStyle w:val="FootnoteReference"/>
          <w:sz w:val="20"/>
          <w:szCs w:val="20"/>
        </w:rPr>
        <w:footnoteRef/>
      </w:r>
      <w:r w:rsidRPr="00FA3AC0">
        <w:rPr>
          <w:sz w:val="20"/>
          <w:szCs w:val="20"/>
        </w:rPr>
        <w:t xml:space="preserve"> </w:t>
      </w:r>
      <w:r w:rsidRPr="00FA3AC0">
        <w:rPr>
          <w:rFonts w:cstheme="minorHAnsi"/>
          <w:bCs/>
          <w:iCs/>
          <w:color w:val="000000" w:themeColor="text1"/>
          <w:sz w:val="20"/>
          <w:szCs w:val="20"/>
        </w:rPr>
        <w:t xml:space="preserve">III </w:t>
      </w:r>
      <w:proofErr w:type="spellStart"/>
      <w:r w:rsidRPr="00FA3AC0">
        <w:rPr>
          <w:rFonts w:cstheme="minorHAnsi"/>
          <w:bCs/>
          <w:iCs/>
          <w:color w:val="000000" w:themeColor="text1"/>
          <w:sz w:val="20"/>
          <w:szCs w:val="20"/>
        </w:rPr>
        <w:t>grupu</w:t>
      </w:r>
      <w:proofErr w:type="spellEnd"/>
      <w:r w:rsidRPr="00FA3AC0">
        <w:rPr>
          <w:rFonts w:cstheme="minorHAnsi"/>
          <w:bCs/>
          <w:iCs/>
          <w:color w:val="000000" w:themeColor="text1"/>
          <w:sz w:val="20"/>
          <w:szCs w:val="20"/>
        </w:rPr>
        <w:t xml:space="preserve"> </w:t>
      </w:r>
      <w:r w:rsidRPr="00FA3AC0">
        <w:rPr>
          <w:rFonts w:cstheme="minorHAnsi"/>
          <w:bCs/>
          <w:iCs/>
          <w:color w:val="000000" w:themeColor="text1"/>
          <w:sz w:val="20"/>
          <w:szCs w:val="20"/>
          <w:lang w:val="sr-Latn-RS"/>
        </w:rPr>
        <w:t xml:space="preserve">čine </w:t>
      </w:r>
      <w:proofErr w:type="spellStart"/>
      <w:r w:rsidRPr="00FA3AC0">
        <w:rPr>
          <w:rFonts w:cstheme="minorHAnsi"/>
          <w:color w:val="000000" w:themeColor="text1"/>
          <w:sz w:val="20"/>
          <w:szCs w:val="20"/>
          <w:shd w:val="clear" w:color="auto" w:fill="FFFFFF"/>
        </w:rPr>
        <w:t>jedinice</w:t>
      </w:r>
      <w:proofErr w:type="spellEnd"/>
      <w:r w:rsidRPr="00FA3AC0">
        <w:rPr>
          <w:rFonts w:cstheme="minorHAnsi"/>
          <w:color w:val="000000" w:themeColor="text1"/>
          <w:sz w:val="20"/>
          <w:szCs w:val="20"/>
          <w:shd w:val="clear" w:color="auto" w:fill="FFFFFF"/>
        </w:rPr>
        <w:t xml:space="preserve"> </w:t>
      </w:r>
      <w:proofErr w:type="spellStart"/>
      <w:r w:rsidRPr="00FA3AC0">
        <w:rPr>
          <w:rFonts w:cstheme="minorHAnsi"/>
          <w:color w:val="000000" w:themeColor="text1"/>
          <w:sz w:val="20"/>
          <w:szCs w:val="20"/>
          <w:shd w:val="clear" w:color="auto" w:fill="FFFFFF"/>
        </w:rPr>
        <w:t>lokalne</w:t>
      </w:r>
      <w:proofErr w:type="spellEnd"/>
      <w:r w:rsidRPr="00FA3AC0">
        <w:rPr>
          <w:rFonts w:cstheme="minorHAnsi"/>
          <w:color w:val="000000" w:themeColor="text1"/>
          <w:sz w:val="20"/>
          <w:szCs w:val="20"/>
          <w:shd w:val="clear" w:color="auto" w:fill="FFFFFF"/>
        </w:rPr>
        <w:t xml:space="preserve"> </w:t>
      </w:r>
      <w:proofErr w:type="spellStart"/>
      <w:r w:rsidRPr="00FA3AC0">
        <w:rPr>
          <w:rFonts w:cstheme="minorHAnsi"/>
          <w:color w:val="000000" w:themeColor="text1"/>
          <w:sz w:val="20"/>
          <w:szCs w:val="20"/>
          <w:shd w:val="clear" w:color="auto" w:fill="FFFFFF"/>
        </w:rPr>
        <w:t>samouprave</w:t>
      </w:r>
      <w:proofErr w:type="spellEnd"/>
      <w:r w:rsidRPr="00FA3AC0">
        <w:rPr>
          <w:rFonts w:cstheme="minorHAnsi"/>
          <w:color w:val="000000" w:themeColor="text1"/>
          <w:sz w:val="20"/>
          <w:szCs w:val="20"/>
          <w:shd w:val="clear" w:color="auto" w:fill="FFFFFF"/>
        </w:rPr>
        <w:t xml:space="preserve"> </w:t>
      </w:r>
      <w:proofErr w:type="spellStart"/>
      <w:r w:rsidRPr="00FA3AC0">
        <w:rPr>
          <w:rFonts w:cstheme="minorHAnsi"/>
          <w:color w:val="000000" w:themeColor="text1"/>
          <w:sz w:val="20"/>
          <w:szCs w:val="20"/>
          <w:shd w:val="clear" w:color="auto" w:fill="FFFFFF"/>
        </w:rPr>
        <w:t>čiji</w:t>
      </w:r>
      <w:proofErr w:type="spellEnd"/>
      <w:r w:rsidRPr="00FA3AC0">
        <w:rPr>
          <w:rFonts w:cstheme="minorHAnsi"/>
          <w:color w:val="000000" w:themeColor="text1"/>
          <w:sz w:val="20"/>
          <w:szCs w:val="20"/>
          <w:shd w:val="clear" w:color="auto" w:fill="FFFFFF"/>
        </w:rPr>
        <w:t xml:space="preserve"> je </w:t>
      </w:r>
      <w:proofErr w:type="spellStart"/>
      <w:r w:rsidRPr="00FA3AC0">
        <w:rPr>
          <w:rFonts w:cstheme="minorHAnsi"/>
          <w:color w:val="000000" w:themeColor="text1"/>
          <w:sz w:val="20"/>
          <w:szCs w:val="20"/>
          <w:shd w:val="clear" w:color="auto" w:fill="FFFFFF"/>
        </w:rPr>
        <w:t>stepen</w:t>
      </w:r>
      <w:proofErr w:type="spellEnd"/>
      <w:r w:rsidRPr="00FA3AC0">
        <w:rPr>
          <w:rFonts w:cstheme="minorHAnsi"/>
          <w:color w:val="000000" w:themeColor="text1"/>
          <w:sz w:val="20"/>
          <w:szCs w:val="20"/>
          <w:shd w:val="clear" w:color="auto" w:fill="FFFFFF"/>
        </w:rPr>
        <w:t xml:space="preserve"> </w:t>
      </w:r>
      <w:proofErr w:type="spellStart"/>
      <w:r w:rsidRPr="00FA3AC0">
        <w:rPr>
          <w:rFonts w:cstheme="minorHAnsi"/>
          <w:color w:val="000000" w:themeColor="text1"/>
          <w:sz w:val="20"/>
          <w:szCs w:val="20"/>
          <w:shd w:val="clear" w:color="auto" w:fill="FFFFFF"/>
        </w:rPr>
        <w:t>razvijenosti</w:t>
      </w:r>
      <w:proofErr w:type="spellEnd"/>
      <w:r w:rsidRPr="00FA3AC0">
        <w:rPr>
          <w:rFonts w:cstheme="minorHAnsi"/>
          <w:color w:val="000000" w:themeColor="text1"/>
          <w:sz w:val="20"/>
          <w:szCs w:val="20"/>
          <w:shd w:val="clear" w:color="auto" w:fill="FFFFFF"/>
        </w:rPr>
        <w:t xml:space="preserve"> u </w:t>
      </w:r>
      <w:proofErr w:type="spellStart"/>
      <w:r w:rsidRPr="00FA3AC0">
        <w:rPr>
          <w:rFonts w:cstheme="minorHAnsi"/>
          <w:color w:val="000000" w:themeColor="text1"/>
          <w:sz w:val="20"/>
          <w:szCs w:val="20"/>
          <w:shd w:val="clear" w:color="auto" w:fill="FFFFFF"/>
        </w:rPr>
        <w:t>rasponu</w:t>
      </w:r>
      <w:proofErr w:type="spellEnd"/>
      <w:r w:rsidRPr="00FA3AC0">
        <w:rPr>
          <w:rFonts w:cstheme="minorHAnsi"/>
          <w:color w:val="000000" w:themeColor="text1"/>
          <w:sz w:val="20"/>
          <w:szCs w:val="20"/>
          <w:shd w:val="clear" w:color="auto" w:fill="FFFFFF"/>
        </w:rPr>
        <w:t xml:space="preserve"> od 60% do 80% </w:t>
      </w:r>
      <w:proofErr w:type="spellStart"/>
      <w:r w:rsidRPr="00FA3AC0">
        <w:rPr>
          <w:rFonts w:cstheme="minorHAnsi"/>
          <w:color w:val="000000" w:themeColor="text1"/>
          <w:sz w:val="20"/>
          <w:szCs w:val="20"/>
          <w:shd w:val="clear" w:color="auto" w:fill="FFFFFF"/>
        </w:rPr>
        <w:t>republičkog</w:t>
      </w:r>
      <w:proofErr w:type="spellEnd"/>
      <w:r w:rsidRPr="00FA3AC0">
        <w:rPr>
          <w:rFonts w:cstheme="minorHAnsi"/>
          <w:color w:val="000000" w:themeColor="text1"/>
          <w:sz w:val="20"/>
          <w:szCs w:val="20"/>
          <w:shd w:val="clear" w:color="auto" w:fill="FFFFFF"/>
        </w:rPr>
        <w:t xml:space="preserve"> </w:t>
      </w:r>
      <w:proofErr w:type="spellStart"/>
      <w:r w:rsidRPr="00FA3AC0">
        <w:rPr>
          <w:rFonts w:cstheme="minorHAnsi"/>
          <w:color w:val="000000" w:themeColor="text1"/>
          <w:sz w:val="20"/>
          <w:szCs w:val="20"/>
          <w:shd w:val="clear" w:color="auto" w:fill="FFFFFF"/>
        </w:rPr>
        <w:t>proseka</w:t>
      </w:r>
      <w:proofErr w:type="spellEnd"/>
      <w:r w:rsidRPr="00FA3AC0">
        <w:rPr>
          <w:sz w:val="20"/>
          <w:szCs w:val="20"/>
        </w:rPr>
        <w:t>.</w:t>
      </w:r>
      <w:r>
        <w:rPr>
          <w:sz w:val="20"/>
          <w:szCs w:val="20"/>
        </w:rPr>
        <w:t xml:space="preserve"> </w:t>
      </w:r>
      <w:proofErr w:type="spellStart"/>
      <w:r>
        <w:rPr>
          <w:sz w:val="20"/>
          <w:szCs w:val="20"/>
        </w:rPr>
        <w:t>Detaljnije</w:t>
      </w:r>
      <w:proofErr w:type="spellEnd"/>
      <w:r>
        <w:rPr>
          <w:sz w:val="20"/>
          <w:szCs w:val="20"/>
        </w:rPr>
        <w:t xml:space="preserve"> </w:t>
      </w:r>
      <w:proofErr w:type="spellStart"/>
      <w:r>
        <w:rPr>
          <w:sz w:val="20"/>
          <w:szCs w:val="20"/>
        </w:rPr>
        <w:t>videti</w:t>
      </w:r>
      <w:proofErr w:type="spellEnd"/>
      <w:r>
        <w:rPr>
          <w:sz w:val="20"/>
          <w:szCs w:val="20"/>
        </w:rPr>
        <w:t xml:space="preserve"> </w:t>
      </w:r>
      <w:proofErr w:type="spellStart"/>
      <w:r>
        <w:rPr>
          <w:sz w:val="20"/>
          <w:szCs w:val="20"/>
        </w:rPr>
        <w:t>na</w:t>
      </w:r>
      <w:proofErr w:type="spellEnd"/>
      <w:r>
        <w:rPr>
          <w:sz w:val="20"/>
          <w:szCs w:val="20"/>
        </w:rPr>
        <w:t xml:space="preserve">:  </w:t>
      </w:r>
      <w:hyperlink r:id="rId1" w:history="1">
        <w:r w:rsidRPr="00EF111E">
          <w:rPr>
            <w:rStyle w:val="Hyperlink"/>
            <w:sz w:val="20"/>
            <w:szCs w:val="20"/>
          </w:rPr>
          <w:t>https://www.regionalnirazvoj.gov.rs/Lat/ShowNARRFolder.aspx?mi=4</w:t>
        </w:r>
      </w:hyperlink>
      <w:r>
        <w:rPr>
          <w:sz w:val="20"/>
          <w:szCs w:val="20"/>
        </w:rPr>
        <w:t xml:space="preserve"> </w:t>
      </w:r>
    </w:p>
  </w:footnote>
  <w:footnote w:id="4">
    <w:p w14:paraId="2F6386E4" w14:textId="2901023C" w:rsidR="00E44774" w:rsidRPr="001F715C" w:rsidRDefault="00E44774" w:rsidP="001F715C">
      <w:pPr>
        <w:rPr>
          <w:rFonts w:asciiTheme="minorHAnsi" w:hAnsiTheme="minorHAnsi" w:cstheme="minorHAnsi"/>
          <w:sz w:val="20"/>
          <w:szCs w:val="20"/>
        </w:rPr>
      </w:pPr>
      <w:r w:rsidRPr="001F715C">
        <w:rPr>
          <w:rFonts w:asciiTheme="minorHAnsi" w:hAnsiTheme="minorHAnsi" w:cstheme="minorHAnsi"/>
          <w:sz w:val="20"/>
          <w:szCs w:val="20"/>
          <w:vertAlign w:val="superscript"/>
        </w:rPr>
        <w:footnoteRef/>
      </w:r>
      <w:r w:rsidRPr="001F715C">
        <w:rPr>
          <w:rFonts w:asciiTheme="minorHAnsi" w:hAnsiTheme="minorHAnsi" w:cstheme="minorHAnsi"/>
          <w:sz w:val="20"/>
          <w:szCs w:val="20"/>
        </w:rPr>
        <w:t xml:space="preserve"> </w:t>
      </w:r>
      <w:proofErr w:type="spellStart"/>
      <w:r w:rsidRPr="001F715C">
        <w:rPr>
          <w:rFonts w:asciiTheme="minorHAnsi" w:hAnsiTheme="minorHAnsi" w:cstheme="minorHAnsi"/>
          <w:sz w:val="20"/>
          <w:szCs w:val="20"/>
        </w:rPr>
        <w:t>Zakon</w:t>
      </w:r>
      <w:proofErr w:type="spellEnd"/>
      <w:r w:rsidRPr="001F715C">
        <w:rPr>
          <w:rFonts w:asciiTheme="minorHAnsi" w:hAnsiTheme="minorHAnsi" w:cstheme="minorHAnsi"/>
          <w:sz w:val="20"/>
          <w:szCs w:val="20"/>
        </w:rPr>
        <w:t xml:space="preserve"> o </w:t>
      </w:r>
      <w:proofErr w:type="spellStart"/>
      <w:r w:rsidRPr="001F715C">
        <w:rPr>
          <w:rFonts w:asciiTheme="minorHAnsi" w:hAnsiTheme="minorHAnsi" w:cstheme="minorHAnsi"/>
          <w:sz w:val="20"/>
          <w:szCs w:val="20"/>
        </w:rPr>
        <w:t>finansijskoj</w:t>
      </w:r>
      <w:proofErr w:type="spellEnd"/>
      <w:r w:rsidRPr="001F715C">
        <w:rPr>
          <w:rFonts w:asciiTheme="minorHAnsi" w:hAnsiTheme="minorHAnsi" w:cstheme="minorHAnsi"/>
          <w:sz w:val="20"/>
          <w:szCs w:val="20"/>
        </w:rPr>
        <w:t xml:space="preserve"> </w:t>
      </w:r>
      <w:proofErr w:type="spellStart"/>
      <w:r w:rsidRPr="001F715C">
        <w:rPr>
          <w:rFonts w:asciiTheme="minorHAnsi" w:hAnsiTheme="minorHAnsi" w:cstheme="minorHAnsi"/>
          <w:sz w:val="20"/>
          <w:szCs w:val="20"/>
        </w:rPr>
        <w:t>podršci</w:t>
      </w:r>
      <w:proofErr w:type="spellEnd"/>
      <w:r w:rsidRPr="001F715C">
        <w:rPr>
          <w:rFonts w:asciiTheme="minorHAnsi" w:hAnsiTheme="minorHAnsi" w:cstheme="minorHAnsi"/>
          <w:sz w:val="20"/>
          <w:szCs w:val="20"/>
        </w:rPr>
        <w:t xml:space="preserve"> </w:t>
      </w:r>
      <w:proofErr w:type="spellStart"/>
      <w:r w:rsidRPr="001F715C">
        <w:rPr>
          <w:rFonts w:asciiTheme="minorHAnsi" w:hAnsiTheme="minorHAnsi" w:cstheme="minorHAnsi"/>
          <w:sz w:val="20"/>
          <w:szCs w:val="20"/>
        </w:rPr>
        <w:t>porodici</w:t>
      </w:r>
      <w:proofErr w:type="spellEnd"/>
      <w:r w:rsidRPr="001F715C">
        <w:rPr>
          <w:rFonts w:asciiTheme="minorHAnsi" w:hAnsiTheme="minorHAnsi" w:cstheme="minorHAnsi"/>
          <w:sz w:val="20"/>
          <w:szCs w:val="20"/>
        </w:rPr>
        <w:t xml:space="preserve"> </w:t>
      </w:r>
      <w:proofErr w:type="spellStart"/>
      <w:r w:rsidRPr="001F715C">
        <w:rPr>
          <w:rFonts w:asciiTheme="minorHAnsi" w:hAnsiTheme="minorHAnsi" w:cstheme="minorHAnsi"/>
          <w:sz w:val="20"/>
          <w:szCs w:val="20"/>
        </w:rPr>
        <w:t>sa</w:t>
      </w:r>
      <w:proofErr w:type="spellEnd"/>
      <w:r w:rsidRPr="001F715C">
        <w:rPr>
          <w:rFonts w:asciiTheme="minorHAnsi" w:hAnsiTheme="minorHAnsi" w:cstheme="minorHAnsi"/>
          <w:sz w:val="20"/>
          <w:szCs w:val="20"/>
        </w:rPr>
        <w:t xml:space="preserve"> decom ("Sl. </w:t>
      </w:r>
      <w:proofErr w:type="spellStart"/>
      <w:r w:rsidRPr="001F715C">
        <w:rPr>
          <w:rFonts w:asciiTheme="minorHAnsi" w:hAnsiTheme="minorHAnsi" w:cstheme="minorHAnsi"/>
          <w:sz w:val="20"/>
          <w:szCs w:val="20"/>
        </w:rPr>
        <w:t>glasnik</w:t>
      </w:r>
      <w:proofErr w:type="spellEnd"/>
      <w:r w:rsidRPr="001F715C">
        <w:rPr>
          <w:rFonts w:asciiTheme="minorHAnsi" w:hAnsiTheme="minorHAnsi" w:cstheme="minorHAnsi"/>
          <w:sz w:val="20"/>
          <w:szCs w:val="20"/>
        </w:rPr>
        <w:t xml:space="preserve"> RS", br. 113/2017 </w:t>
      </w:r>
      <w:proofErr w:type="spellStart"/>
      <w:r w:rsidRPr="001F715C">
        <w:rPr>
          <w:rFonts w:asciiTheme="minorHAnsi" w:hAnsiTheme="minorHAnsi" w:cstheme="minorHAnsi"/>
          <w:sz w:val="20"/>
          <w:szCs w:val="20"/>
        </w:rPr>
        <w:t>i</w:t>
      </w:r>
      <w:proofErr w:type="spellEnd"/>
      <w:r w:rsidRPr="001F715C">
        <w:rPr>
          <w:rFonts w:asciiTheme="minorHAnsi" w:hAnsiTheme="minorHAnsi" w:cstheme="minorHAnsi"/>
          <w:sz w:val="20"/>
          <w:szCs w:val="20"/>
        </w:rPr>
        <w:t xml:space="preserve"> 50/2018)</w:t>
      </w:r>
      <w:r>
        <w:rPr>
          <w:rFonts w:asciiTheme="minorHAnsi" w:hAnsiTheme="minorHAnsi" w:cstheme="minorHAnsi"/>
          <w:sz w:val="20"/>
          <w:szCs w:val="20"/>
          <w:lang w:val="sr-Latn-RS"/>
        </w:rPr>
        <w:t>,</w:t>
      </w:r>
      <w:r w:rsidRPr="00EE6FA4">
        <w:rPr>
          <w:rFonts w:cstheme="minorHAnsi"/>
          <w:sz w:val="20"/>
          <w:szCs w:val="20"/>
          <w:lang w:val="sr-Latn-RS"/>
        </w:rPr>
        <w:t xml:space="preserve"> </w:t>
      </w:r>
      <w:r w:rsidRPr="001F715C">
        <w:rPr>
          <w:rFonts w:asciiTheme="minorHAnsi" w:hAnsiTheme="minorHAnsi" w:cstheme="minorHAnsi"/>
          <w:sz w:val="20"/>
          <w:szCs w:val="20"/>
          <w:lang w:val="sr-Latn-RS"/>
        </w:rPr>
        <w:t>član 31 i  33.</w:t>
      </w:r>
    </w:p>
  </w:footnote>
  <w:footnote w:id="5">
    <w:p w14:paraId="28C39DEE" w14:textId="407D4FFB" w:rsidR="00E44774" w:rsidRPr="009D002B" w:rsidRDefault="00E44774" w:rsidP="00EE6FA4">
      <w:pPr>
        <w:rPr>
          <w:rFonts w:asciiTheme="minorHAnsi" w:hAnsiTheme="minorHAnsi" w:cstheme="minorHAnsi"/>
          <w:color w:val="000000" w:themeColor="text1"/>
          <w:sz w:val="20"/>
          <w:szCs w:val="20"/>
          <w:lang w:val="sr-Latn-RS"/>
        </w:rPr>
      </w:pPr>
      <w:r w:rsidRPr="009D002B">
        <w:rPr>
          <w:rStyle w:val="FootnoteReference"/>
          <w:rFonts w:asciiTheme="minorHAnsi" w:hAnsiTheme="minorHAnsi" w:cstheme="minorHAnsi"/>
          <w:sz w:val="20"/>
          <w:szCs w:val="20"/>
        </w:rPr>
        <w:footnoteRef/>
      </w:r>
      <w:r w:rsidRPr="009D002B">
        <w:rPr>
          <w:rFonts w:asciiTheme="minorHAnsi" w:hAnsiTheme="minorHAnsi" w:cstheme="minorHAnsi"/>
          <w:sz w:val="20"/>
          <w:szCs w:val="20"/>
        </w:rPr>
        <w:t xml:space="preserve"> </w:t>
      </w:r>
      <w:proofErr w:type="spellStart"/>
      <w:r w:rsidRPr="009D002B">
        <w:rPr>
          <w:rFonts w:asciiTheme="minorHAnsi" w:hAnsiTheme="minorHAnsi" w:cstheme="minorHAnsi"/>
          <w:sz w:val="20"/>
          <w:szCs w:val="20"/>
        </w:rPr>
        <w:t>Prema</w:t>
      </w:r>
      <w:proofErr w:type="spellEnd"/>
      <w:r w:rsidRPr="009D002B">
        <w:rPr>
          <w:rFonts w:asciiTheme="minorHAnsi" w:hAnsiTheme="minorHAnsi" w:cstheme="minorHAnsi"/>
          <w:sz w:val="20"/>
          <w:szCs w:val="20"/>
        </w:rPr>
        <w:t xml:space="preserve"> </w:t>
      </w:r>
      <w:r w:rsidRPr="009D002B">
        <w:rPr>
          <w:rFonts w:asciiTheme="minorHAnsi" w:hAnsiTheme="minorHAnsi" w:cstheme="minorHAnsi"/>
          <w:sz w:val="20"/>
          <w:szCs w:val="20"/>
          <w:lang w:val="sr-Latn-RS"/>
        </w:rPr>
        <w:t xml:space="preserve">Zakonu o finansijskoj podršci porodici sa decom, član </w:t>
      </w:r>
      <w:r w:rsidRPr="009D002B">
        <w:rPr>
          <w:rFonts w:asciiTheme="minorHAnsi" w:hAnsiTheme="minorHAnsi" w:cstheme="minorHAnsi"/>
          <w:color w:val="000000" w:themeColor="text1"/>
          <w:sz w:val="20"/>
          <w:szCs w:val="20"/>
          <w:lang w:val="sr-Latn-RS"/>
        </w:rPr>
        <w:t>26 „</w:t>
      </w:r>
      <w:proofErr w:type="spellStart"/>
      <w:r w:rsidRPr="009D002B">
        <w:rPr>
          <w:rFonts w:asciiTheme="minorHAnsi" w:hAnsiTheme="minorHAnsi" w:cstheme="minorHAnsi"/>
          <w:color w:val="000000" w:themeColor="text1"/>
          <w:sz w:val="20"/>
          <w:szCs w:val="20"/>
          <w:shd w:val="clear" w:color="auto" w:fill="FFFFFF"/>
        </w:rPr>
        <w:t>Dečiji</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dodatak</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pripada</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detetu</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ako</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ima</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svojstvo</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učenika</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osnovne</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škole</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odnosno</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svojstvo</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redovnog</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učenika</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srednje</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škole</w:t>
      </w:r>
      <w:proofErr w:type="spellEnd"/>
      <w:r w:rsidRPr="009D002B">
        <w:rPr>
          <w:rFonts w:asciiTheme="minorHAnsi" w:hAnsiTheme="minorHAnsi" w:cstheme="minorHAnsi"/>
          <w:color w:val="000000" w:themeColor="text1"/>
          <w:sz w:val="20"/>
          <w:szCs w:val="20"/>
          <w:shd w:val="clear" w:color="auto" w:fill="FFFFFF"/>
        </w:rPr>
        <w:t xml:space="preserve"> do </w:t>
      </w:r>
      <w:proofErr w:type="spellStart"/>
      <w:r w:rsidRPr="009D002B">
        <w:rPr>
          <w:rFonts w:asciiTheme="minorHAnsi" w:hAnsiTheme="minorHAnsi" w:cstheme="minorHAnsi"/>
          <w:color w:val="000000" w:themeColor="text1"/>
          <w:sz w:val="20"/>
          <w:szCs w:val="20"/>
          <w:shd w:val="clear" w:color="auto" w:fill="FFFFFF"/>
        </w:rPr>
        <w:t>završetka</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srednjoškolskog</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obrazovanja</w:t>
      </w:r>
      <w:proofErr w:type="spellEnd"/>
      <w:r w:rsidRPr="009D002B">
        <w:rPr>
          <w:rFonts w:asciiTheme="minorHAnsi" w:hAnsiTheme="minorHAnsi" w:cstheme="minorHAnsi"/>
          <w:color w:val="000000" w:themeColor="text1"/>
          <w:sz w:val="20"/>
          <w:szCs w:val="20"/>
          <w:shd w:val="clear" w:color="auto" w:fill="FFFFFF"/>
        </w:rPr>
        <w:t xml:space="preserve">, a </w:t>
      </w:r>
      <w:proofErr w:type="spellStart"/>
      <w:r w:rsidRPr="009D002B">
        <w:rPr>
          <w:rFonts w:asciiTheme="minorHAnsi" w:hAnsiTheme="minorHAnsi" w:cstheme="minorHAnsi"/>
          <w:color w:val="000000" w:themeColor="text1"/>
          <w:sz w:val="20"/>
          <w:szCs w:val="20"/>
          <w:shd w:val="clear" w:color="auto" w:fill="FFFFFF"/>
        </w:rPr>
        <w:t>najduže</w:t>
      </w:r>
      <w:proofErr w:type="spellEnd"/>
      <w:r w:rsidRPr="009D002B">
        <w:rPr>
          <w:rFonts w:asciiTheme="minorHAnsi" w:hAnsiTheme="minorHAnsi" w:cstheme="minorHAnsi"/>
          <w:color w:val="000000" w:themeColor="text1"/>
          <w:sz w:val="20"/>
          <w:szCs w:val="20"/>
          <w:shd w:val="clear" w:color="auto" w:fill="FFFFFF"/>
        </w:rPr>
        <w:t xml:space="preserve"> do </w:t>
      </w:r>
      <w:proofErr w:type="spellStart"/>
      <w:r w:rsidRPr="009D002B">
        <w:rPr>
          <w:rFonts w:asciiTheme="minorHAnsi" w:hAnsiTheme="minorHAnsi" w:cstheme="minorHAnsi"/>
          <w:color w:val="000000" w:themeColor="text1"/>
          <w:sz w:val="20"/>
          <w:szCs w:val="20"/>
          <w:shd w:val="clear" w:color="auto" w:fill="FFFFFF"/>
        </w:rPr>
        <w:t>navršenih</w:t>
      </w:r>
      <w:proofErr w:type="spellEnd"/>
      <w:r w:rsidRPr="009D002B">
        <w:rPr>
          <w:rFonts w:asciiTheme="minorHAnsi" w:hAnsiTheme="minorHAnsi" w:cstheme="minorHAnsi"/>
          <w:color w:val="000000" w:themeColor="text1"/>
          <w:sz w:val="20"/>
          <w:szCs w:val="20"/>
          <w:shd w:val="clear" w:color="auto" w:fill="FFFFFF"/>
        </w:rPr>
        <w:t xml:space="preserve"> 20 </w:t>
      </w:r>
      <w:proofErr w:type="spellStart"/>
      <w:r w:rsidRPr="009D002B">
        <w:rPr>
          <w:rFonts w:asciiTheme="minorHAnsi" w:hAnsiTheme="minorHAnsi" w:cstheme="minorHAnsi"/>
          <w:color w:val="000000" w:themeColor="text1"/>
          <w:sz w:val="20"/>
          <w:szCs w:val="20"/>
          <w:shd w:val="clear" w:color="auto" w:fill="FFFFFF"/>
        </w:rPr>
        <w:t>godina</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života</w:t>
      </w:r>
      <w:proofErr w:type="spellEnd"/>
      <w:r w:rsidRPr="009D002B">
        <w:rPr>
          <w:rFonts w:asciiTheme="minorHAnsi" w:hAnsiTheme="minorHAnsi" w:cstheme="minorHAnsi"/>
          <w:color w:val="000000" w:themeColor="text1"/>
          <w:sz w:val="20"/>
          <w:szCs w:val="20"/>
          <w:shd w:val="clear" w:color="auto" w:fill="FFFFFF"/>
        </w:rPr>
        <w:t>”.</w:t>
      </w:r>
      <w:r w:rsidRPr="009D002B">
        <w:rPr>
          <w:rFonts w:asciiTheme="minorHAnsi" w:hAnsiTheme="minorHAnsi" w:cstheme="minorHAnsi"/>
          <w:color w:val="000000" w:themeColor="text1"/>
          <w:sz w:val="20"/>
          <w:szCs w:val="20"/>
          <w:shd w:val="clear" w:color="auto" w:fill="FFFFFF"/>
          <w:lang w:val="sr-Latn-RS"/>
        </w:rPr>
        <w:t xml:space="preserve"> </w:t>
      </w:r>
      <w:r w:rsidRPr="009D002B">
        <w:rPr>
          <w:rFonts w:asciiTheme="minorHAnsi" w:hAnsiTheme="minorHAnsi" w:cstheme="minorHAnsi"/>
          <w:bCs/>
          <w:iCs/>
          <w:sz w:val="20"/>
          <w:szCs w:val="20"/>
          <w:lang w:val="sr-Latn-RS"/>
        </w:rPr>
        <w:t xml:space="preserve">Pravo može da ostvari </w:t>
      </w:r>
      <w:r w:rsidRPr="009D002B">
        <w:rPr>
          <w:rFonts w:asciiTheme="minorHAnsi" w:hAnsiTheme="minorHAnsi" w:cstheme="minorHAnsi"/>
          <w:bCs/>
          <w:iCs/>
          <w:color w:val="000000" w:themeColor="text1"/>
          <w:sz w:val="20"/>
          <w:szCs w:val="20"/>
          <w:lang w:val="sr-Latn-RS"/>
        </w:rPr>
        <w:t xml:space="preserve">i </w:t>
      </w:r>
      <w:proofErr w:type="spellStart"/>
      <w:r w:rsidRPr="009D002B">
        <w:rPr>
          <w:rFonts w:asciiTheme="minorHAnsi" w:hAnsiTheme="minorHAnsi" w:cstheme="minorHAnsi"/>
          <w:color w:val="000000" w:themeColor="text1"/>
          <w:sz w:val="20"/>
          <w:szCs w:val="20"/>
          <w:shd w:val="clear" w:color="auto" w:fill="FFFFFF"/>
        </w:rPr>
        <w:t>dete</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nad</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kojim</w:t>
      </w:r>
      <w:proofErr w:type="spellEnd"/>
      <w:r w:rsidRPr="009D002B">
        <w:rPr>
          <w:rFonts w:asciiTheme="minorHAnsi" w:hAnsiTheme="minorHAnsi" w:cstheme="minorHAnsi"/>
          <w:color w:val="000000" w:themeColor="text1"/>
          <w:sz w:val="20"/>
          <w:szCs w:val="20"/>
          <w:shd w:val="clear" w:color="auto" w:fill="FFFFFF"/>
        </w:rPr>
        <w:t xml:space="preserve"> je </w:t>
      </w:r>
      <w:proofErr w:type="spellStart"/>
      <w:r w:rsidRPr="009D002B">
        <w:rPr>
          <w:rFonts w:asciiTheme="minorHAnsi" w:hAnsiTheme="minorHAnsi" w:cstheme="minorHAnsi"/>
          <w:color w:val="000000" w:themeColor="text1"/>
          <w:sz w:val="20"/>
          <w:szCs w:val="20"/>
          <w:shd w:val="clear" w:color="auto" w:fill="FFFFFF"/>
        </w:rPr>
        <w:t>produženo</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roditeljsko</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pravo</w:t>
      </w:r>
      <w:proofErr w:type="spellEnd"/>
      <w:r w:rsidRPr="009D002B">
        <w:rPr>
          <w:rFonts w:asciiTheme="minorHAnsi" w:hAnsiTheme="minorHAnsi" w:cstheme="minorHAnsi"/>
          <w:color w:val="000000" w:themeColor="text1"/>
          <w:sz w:val="20"/>
          <w:szCs w:val="20"/>
          <w:shd w:val="clear" w:color="auto" w:fill="FFFFFF"/>
        </w:rPr>
        <w:t xml:space="preserve"> </w:t>
      </w:r>
      <w:proofErr w:type="spellStart"/>
      <w:r w:rsidRPr="009D002B">
        <w:rPr>
          <w:rFonts w:asciiTheme="minorHAnsi" w:hAnsiTheme="minorHAnsi" w:cstheme="minorHAnsi"/>
          <w:color w:val="000000" w:themeColor="text1"/>
          <w:sz w:val="20"/>
          <w:szCs w:val="20"/>
          <w:shd w:val="clear" w:color="auto" w:fill="FFFFFF"/>
        </w:rPr>
        <w:t>najduže</w:t>
      </w:r>
      <w:proofErr w:type="spellEnd"/>
      <w:r w:rsidRPr="009D002B">
        <w:rPr>
          <w:rFonts w:asciiTheme="minorHAnsi" w:hAnsiTheme="minorHAnsi" w:cstheme="minorHAnsi"/>
          <w:color w:val="000000" w:themeColor="text1"/>
          <w:sz w:val="20"/>
          <w:szCs w:val="20"/>
          <w:shd w:val="clear" w:color="auto" w:fill="FFFFFF"/>
        </w:rPr>
        <w:t xml:space="preserve"> do 26 </w:t>
      </w:r>
      <w:proofErr w:type="spellStart"/>
      <w:r w:rsidRPr="009D002B">
        <w:rPr>
          <w:rFonts w:asciiTheme="minorHAnsi" w:hAnsiTheme="minorHAnsi" w:cstheme="minorHAnsi"/>
          <w:color w:val="000000" w:themeColor="text1"/>
          <w:sz w:val="20"/>
          <w:szCs w:val="20"/>
          <w:shd w:val="clear" w:color="auto" w:fill="FFFFFF"/>
        </w:rPr>
        <w:t>godina</w:t>
      </w:r>
      <w:proofErr w:type="spellEnd"/>
      <w:r w:rsidRPr="009D002B">
        <w:rPr>
          <w:rFonts w:asciiTheme="minorHAnsi" w:hAnsiTheme="minorHAnsi" w:cstheme="minorHAnsi"/>
          <w:color w:val="000000" w:themeColor="text1"/>
          <w:sz w:val="20"/>
          <w:szCs w:val="20"/>
          <w:shd w:val="clear" w:color="auto" w:fill="FFFFFF"/>
          <w:lang w:val="sr-Latn-RS"/>
        </w:rPr>
        <w:t xml:space="preserve">, ali je udeo ove dece veoma mali. </w:t>
      </w:r>
    </w:p>
  </w:footnote>
  <w:footnote w:id="6">
    <w:p w14:paraId="109663D8" w14:textId="61EFBAFD" w:rsidR="00E44774" w:rsidRPr="009B3237" w:rsidRDefault="00E44774" w:rsidP="00FE4739">
      <w:pPr>
        <w:pStyle w:val="FootnoteText"/>
        <w:jc w:val="both"/>
        <w:rPr>
          <w:sz w:val="20"/>
          <w:szCs w:val="20"/>
          <w:lang w:val="sr-Latn-RS"/>
        </w:rPr>
      </w:pPr>
      <w:r w:rsidRPr="009B3237">
        <w:rPr>
          <w:rStyle w:val="FootnoteReference"/>
          <w:sz w:val="20"/>
          <w:szCs w:val="20"/>
        </w:rPr>
        <w:footnoteRef/>
      </w:r>
      <w:r w:rsidRPr="009B3237">
        <w:rPr>
          <w:sz w:val="20"/>
          <w:szCs w:val="20"/>
        </w:rPr>
        <w:t xml:space="preserve"> </w:t>
      </w:r>
      <w:proofErr w:type="spellStart"/>
      <w:r>
        <w:rPr>
          <w:sz w:val="20"/>
          <w:szCs w:val="20"/>
        </w:rPr>
        <w:t>Podatak</w:t>
      </w:r>
      <w:proofErr w:type="spellEnd"/>
      <w:r>
        <w:rPr>
          <w:sz w:val="20"/>
          <w:szCs w:val="20"/>
        </w:rPr>
        <w:t xml:space="preserve"> se </w:t>
      </w:r>
      <w:proofErr w:type="spellStart"/>
      <w:r>
        <w:rPr>
          <w:sz w:val="20"/>
          <w:szCs w:val="20"/>
        </w:rPr>
        <w:t>odnosi</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DevInfo</w:t>
      </w:r>
      <w:proofErr w:type="spellEnd"/>
      <w:r>
        <w:rPr>
          <w:sz w:val="20"/>
          <w:szCs w:val="20"/>
        </w:rPr>
        <w:t xml:space="preserve"> </w:t>
      </w:r>
      <w:r>
        <w:rPr>
          <w:sz w:val="20"/>
          <w:szCs w:val="20"/>
          <w:lang w:val="sr-Latn-RS"/>
        </w:rPr>
        <w:t>i</w:t>
      </w:r>
      <w:r w:rsidRPr="009B3237">
        <w:rPr>
          <w:sz w:val="20"/>
          <w:szCs w:val="20"/>
          <w:lang w:val="sr-Latn-RS"/>
        </w:rPr>
        <w:t xml:space="preserve">ndikator </w:t>
      </w:r>
      <w:r>
        <w:rPr>
          <w:sz w:val="20"/>
          <w:szCs w:val="20"/>
          <w:lang w:val="sr-Latn-RS"/>
        </w:rPr>
        <w:t>„</w:t>
      </w:r>
      <w:r w:rsidRPr="009B3237">
        <w:rPr>
          <w:sz w:val="20"/>
          <w:szCs w:val="20"/>
          <w:lang w:val="sr-Latn-RS"/>
        </w:rPr>
        <w:t>Udeo korisnika dečijeg dodatka u ukupnoj populaciji dece</w:t>
      </w:r>
      <w:r>
        <w:rPr>
          <w:sz w:val="20"/>
          <w:szCs w:val="20"/>
        </w:rPr>
        <w:t>”</w:t>
      </w:r>
      <w:r>
        <w:rPr>
          <w:sz w:val="20"/>
          <w:szCs w:val="20"/>
          <w:lang w:val="sr-Latn-RS"/>
        </w:rPr>
        <w:t xml:space="preserve"> koji u ovom dokumentu nije korišćen s obzirom da je preciznije da se obuhvat računa stavljanjem u odnos broja korisnika sa starosnom grupom  0-19, a ne sa starosnom grupom 0-17 (populacija dece)</w:t>
      </w:r>
      <w:r w:rsidRPr="005A1B51">
        <w:rPr>
          <w:sz w:val="20"/>
          <w:szCs w:val="20"/>
          <w:lang w:val="sr-Latn-RS"/>
        </w:rPr>
        <w:t>.</w:t>
      </w:r>
    </w:p>
  </w:footnote>
  <w:footnote w:id="7">
    <w:p w14:paraId="776B90AE" w14:textId="37303B01" w:rsidR="00E44774" w:rsidRPr="005F18C6" w:rsidRDefault="00E44774" w:rsidP="006168DD">
      <w:pPr>
        <w:spacing w:after="120"/>
        <w:jc w:val="both"/>
        <w:rPr>
          <w:rFonts w:asciiTheme="minorHAnsi" w:hAnsiTheme="minorHAnsi"/>
          <w:sz w:val="20"/>
          <w:szCs w:val="20"/>
        </w:rPr>
      </w:pPr>
      <w:r w:rsidRPr="005F18C6">
        <w:rPr>
          <w:rStyle w:val="FootnoteReference"/>
          <w:rFonts w:asciiTheme="minorHAnsi" w:hAnsiTheme="minorHAnsi"/>
          <w:sz w:val="20"/>
          <w:szCs w:val="20"/>
        </w:rPr>
        <w:footnoteRef/>
      </w:r>
      <w:r w:rsidRPr="005F18C6">
        <w:rPr>
          <w:rFonts w:asciiTheme="minorHAnsi" w:hAnsiTheme="minorHAnsi"/>
          <w:sz w:val="20"/>
          <w:szCs w:val="20"/>
        </w:rPr>
        <w:t xml:space="preserve"> U </w:t>
      </w:r>
      <w:proofErr w:type="spellStart"/>
      <w:r w:rsidRPr="005F18C6">
        <w:rPr>
          <w:rFonts w:asciiTheme="minorHAnsi" w:hAnsiTheme="minorHAnsi"/>
          <w:sz w:val="20"/>
          <w:szCs w:val="20"/>
        </w:rPr>
        <w:t>prvoj</w:t>
      </w:r>
      <w:proofErr w:type="spellEnd"/>
      <w:r w:rsidRPr="005F18C6">
        <w:rPr>
          <w:rFonts w:asciiTheme="minorHAnsi" w:hAnsiTheme="minorHAnsi"/>
          <w:sz w:val="20"/>
          <w:szCs w:val="20"/>
        </w:rPr>
        <w:t xml:space="preserve"> </w:t>
      </w:r>
      <w:proofErr w:type="spellStart"/>
      <w:r w:rsidRPr="005F18C6">
        <w:rPr>
          <w:rFonts w:asciiTheme="minorHAnsi" w:hAnsiTheme="minorHAnsi"/>
          <w:sz w:val="20"/>
          <w:szCs w:val="20"/>
        </w:rPr>
        <w:t>polovini</w:t>
      </w:r>
      <w:proofErr w:type="spellEnd"/>
      <w:r w:rsidRPr="005F18C6">
        <w:rPr>
          <w:rFonts w:asciiTheme="minorHAnsi" w:hAnsiTheme="minorHAnsi"/>
          <w:sz w:val="20"/>
          <w:szCs w:val="20"/>
        </w:rPr>
        <w:t xml:space="preserve"> 2019 </w:t>
      </w:r>
      <w:proofErr w:type="spellStart"/>
      <w:r w:rsidRPr="005F18C6">
        <w:rPr>
          <w:rFonts w:asciiTheme="minorHAnsi" w:hAnsiTheme="minorHAnsi"/>
          <w:sz w:val="20"/>
          <w:szCs w:val="20"/>
        </w:rPr>
        <w:t>godine</w:t>
      </w:r>
      <w:proofErr w:type="spellEnd"/>
      <w:r w:rsidRPr="005F18C6">
        <w:rPr>
          <w:rFonts w:asciiTheme="minorHAnsi" w:hAnsiTheme="minorHAnsi"/>
          <w:sz w:val="20"/>
          <w:szCs w:val="20"/>
        </w:rPr>
        <w:t xml:space="preserve"> </w:t>
      </w:r>
      <w:proofErr w:type="spellStart"/>
      <w:r w:rsidRPr="005F18C6">
        <w:rPr>
          <w:rFonts w:asciiTheme="minorHAnsi" w:hAnsiTheme="minorHAnsi"/>
          <w:bCs/>
          <w:sz w:val="20"/>
          <w:szCs w:val="20"/>
        </w:rPr>
        <w:t>pravo</w:t>
      </w:r>
      <w:proofErr w:type="spellEnd"/>
      <w:r w:rsidRPr="005F18C6">
        <w:rPr>
          <w:rFonts w:asciiTheme="minorHAnsi" w:hAnsiTheme="minorHAnsi"/>
          <w:bCs/>
          <w:sz w:val="20"/>
          <w:szCs w:val="20"/>
        </w:rPr>
        <w:t xml:space="preserve"> </w:t>
      </w:r>
      <w:proofErr w:type="spellStart"/>
      <w:r w:rsidRPr="005F18C6">
        <w:rPr>
          <w:rFonts w:asciiTheme="minorHAnsi" w:hAnsiTheme="minorHAnsi"/>
          <w:bCs/>
          <w:sz w:val="20"/>
          <w:szCs w:val="20"/>
        </w:rPr>
        <w:t>na</w:t>
      </w:r>
      <w:proofErr w:type="spellEnd"/>
      <w:r w:rsidRPr="005F18C6">
        <w:rPr>
          <w:rFonts w:asciiTheme="minorHAnsi" w:hAnsiTheme="minorHAnsi"/>
          <w:bCs/>
          <w:sz w:val="20"/>
          <w:szCs w:val="20"/>
        </w:rPr>
        <w:t xml:space="preserve"> </w:t>
      </w:r>
      <w:proofErr w:type="spellStart"/>
      <w:r w:rsidRPr="005F18C6">
        <w:rPr>
          <w:rFonts w:asciiTheme="minorHAnsi" w:hAnsiTheme="minorHAnsi"/>
          <w:bCs/>
          <w:sz w:val="20"/>
          <w:szCs w:val="20"/>
        </w:rPr>
        <w:t>dečiji</w:t>
      </w:r>
      <w:proofErr w:type="spellEnd"/>
      <w:r w:rsidRPr="005F18C6">
        <w:rPr>
          <w:rFonts w:asciiTheme="minorHAnsi" w:hAnsiTheme="minorHAnsi"/>
          <w:bCs/>
          <w:sz w:val="20"/>
          <w:szCs w:val="20"/>
        </w:rPr>
        <w:t xml:space="preserve"> </w:t>
      </w:r>
      <w:proofErr w:type="spellStart"/>
      <w:r w:rsidRPr="005F18C6">
        <w:rPr>
          <w:rFonts w:asciiTheme="minorHAnsi" w:hAnsiTheme="minorHAnsi"/>
          <w:bCs/>
          <w:sz w:val="20"/>
          <w:szCs w:val="20"/>
        </w:rPr>
        <w:t>dodatak</w:t>
      </w:r>
      <w:proofErr w:type="spellEnd"/>
      <w:r w:rsidRPr="005F18C6">
        <w:rPr>
          <w:rFonts w:asciiTheme="minorHAnsi" w:hAnsiTheme="minorHAnsi"/>
          <w:bCs/>
          <w:sz w:val="20"/>
          <w:szCs w:val="20"/>
        </w:rPr>
        <w:t xml:space="preserve"> </w:t>
      </w:r>
      <w:proofErr w:type="spellStart"/>
      <w:r w:rsidRPr="005F18C6">
        <w:rPr>
          <w:rFonts w:asciiTheme="minorHAnsi" w:hAnsiTheme="minorHAnsi"/>
          <w:bCs/>
          <w:sz w:val="20"/>
          <w:szCs w:val="20"/>
        </w:rPr>
        <w:t>ostvaruje</w:t>
      </w:r>
      <w:proofErr w:type="spellEnd"/>
      <w:r w:rsidRPr="005F18C6">
        <w:rPr>
          <w:rFonts w:asciiTheme="minorHAnsi" w:hAnsiTheme="minorHAnsi"/>
          <w:bCs/>
          <w:sz w:val="20"/>
          <w:szCs w:val="20"/>
        </w:rPr>
        <w:t xml:space="preserve"> se </w:t>
      </w:r>
      <w:proofErr w:type="spellStart"/>
      <w:r w:rsidRPr="005F18C6">
        <w:rPr>
          <w:rFonts w:asciiTheme="minorHAnsi" w:hAnsiTheme="minorHAnsi"/>
          <w:bCs/>
          <w:sz w:val="20"/>
          <w:szCs w:val="20"/>
        </w:rPr>
        <w:t>ako</w:t>
      </w:r>
      <w:proofErr w:type="spellEnd"/>
      <w:r w:rsidRPr="005F18C6">
        <w:rPr>
          <w:rFonts w:asciiTheme="minorHAnsi" w:hAnsiTheme="minorHAnsi"/>
          <w:bCs/>
          <w:sz w:val="20"/>
          <w:szCs w:val="20"/>
        </w:rPr>
        <w:t xml:space="preserve"> </w:t>
      </w:r>
      <w:proofErr w:type="spellStart"/>
      <w:r w:rsidRPr="005F18C6">
        <w:rPr>
          <w:rFonts w:asciiTheme="minorHAnsi" w:hAnsiTheme="minorHAnsi"/>
          <w:bCs/>
          <w:sz w:val="20"/>
          <w:szCs w:val="20"/>
        </w:rPr>
        <w:t>ukupan</w:t>
      </w:r>
      <w:proofErr w:type="spellEnd"/>
      <w:r w:rsidRPr="005F18C6">
        <w:rPr>
          <w:rFonts w:asciiTheme="minorHAnsi" w:hAnsiTheme="minorHAnsi"/>
          <w:bCs/>
          <w:sz w:val="20"/>
          <w:szCs w:val="20"/>
        </w:rPr>
        <w:t xml:space="preserve"> </w:t>
      </w:r>
      <w:proofErr w:type="spellStart"/>
      <w:r w:rsidRPr="005F18C6">
        <w:rPr>
          <w:rFonts w:asciiTheme="minorHAnsi" w:hAnsiTheme="minorHAnsi"/>
          <w:bCs/>
          <w:sz w:val="20"/>
          <w:szCs w:val="20"/>
        </w:rPr>
        <w:t>mesečni</w:t>
      </w:r>
      <w:proofErr w:type="spellEnd"/>
      <w:r w:rsidRPr="005F18C6">
        <w:rPr>
          <w:rFonts w:asciiTheme="minorHAnsi" w:hAnsiTheme="minorHAnsi"/>
          <w:bCs/>
          <w:sz w:val="20"/>
          <w:szCs w:val="20"/>
        </w:rPr>
        <w:t xml:space="preserve"> </w:t>
      </w:r>
      <w:proofErr w:type="spellStart"/>
      <w:r w:rsidRPr="005F18C6">
        <w:rPr>
          <w:rFonts w:asciiTheme="minorHAnsi" w:hAnsiTheme="minorHAnsi"/>
          <w:bCs/>
          <w:sz w:val="20"/>
          <w:szCs w:val="20"/>
        </w:rPr>
        <w:t>prihod</w:t>
      </w:r>
      <w:proofErr w:type="spellEnd"/>
      <w:r w:rsidRPr="005F18C6">
        <w:rPr>
          <w:rFonts w:asciiTheme="minorHAnsi" w:hAnsiTheme="minorHAnsi"/>
          <w:bCs/>
          <w:sz w:val="20"/>
          <w:szCs w:val="20"/>
        </w:rPr>
        <w:t xml:space="preserve"> </w:t>
      </w:r>
      <w:proofErr w:type="spellStart"/>
      <w:r w:rsidRPr="005F18C6">
        <w:rPr>
          <w:rFonts w:asciiTheme="minorHAnsi" w:hAnsiTheme="minorHAnsi"/>
          <w:bCs/>
          <w:sz w:val="20"/>
          <w:szCs w:val="20"/>
        </w:rPr>
        <w:t>porodice</w:t>
      </w:r>
      <w:proofErr w:type="spellEnd"/>
      <w:r w:rsidRPr="005F18C6">
        <w:rPr>
          <w:rFonts w:asciiTheme="minorHAnsi" w:hAnsiTheme="minorHAnsi"/>
          <w:bCs/>
          <w:sz w:val="20"/>
          <w:szCs w:val="20"/>
        </w:rPr>
        <w:t xml:space="preserve">, </w:t>
      </w:r>
      <w:proofErr w:type="spellStart"/>
      <w:r w:rsidRPr="005F18C6">
        <w:rPr>
          <w:rFonts w:asciiTheme="minorHAnsi" w:hAnsiTheme="minorHAnsi"/>
          <w:bCs/>
          <w:sz w:val="20"/>
          <w:szCs w:val="20"/>
        </w:rPr>
        <w:t>ostvaren</w:t>
      </w:r>
      <w:proofErr w:type="spellEnd"/>
      <w:r w:rsidRPr="005F18C6">
        <w:rPr>
          <w:rFonts w:asciiTheme="minorHAnsi" w:hAnsiTheme="minorHAnsi"/>
          <w:bCs/>
          <w:sz w:val="20"/>
          <w:szCs w:val="20"/>
        </w:rPr>
        <w:t xml:space="preserve"> u tri </w:t>
      </w:r>
      <w:proofErr w:type="spellStart"/>
      <w:r w:rsidRPr="005F18C6">
        <w:rPr>
          <w:rFonts w:asciiTheme="minorHAnsi" w:hAnsiTheme="minorHAnsi"/>
          <w:bCs/>
          <w:sz w:val="20"/>
          <w:szCs w:val="20"/>
        </w:rPr>
        <w:t>meseca</w:t>
      </w:r>
      <w:proofErr w:type="spellEnd"/>
      <w:r w:rsidRPr="005F18C6">
        <w:rPr>
          <w:rFonts w:asciiTheme="minorHAnsi" w:hAnsiTheme="minorHAnsi"/>
          <w:bCs/>
          <w:sz w:val="20"/>
          <w:szCs w:val="20"/>
        </w:rPr>
        <w:t xml:space="preserve"> koji </w:t>
      </w:r>
      <w:proofErr w:type="spellStart"/>
      <w:r w:rsidRPr="005F18C6">
        <w:rPr>
          <w:rFonts w:asciiTheme="minorHAnsi" w:hAnsiTheme="minorHAnsi"/>
          <w:bCs/>
          <w:sz w:val="20"/>
          <w:szCs w:val="20"/>
        </w:rPr>
        <w:t>prethode</w:t>
      </w:r>
      <w:proofErr w:type="spellEnd"/>
      <w:r w:rsidRPr="005F18C6">
        <w:rPr>
          <w:rFonts w:asciiTheme="minorHAnsi" w:hAnsiTheme="minorHAnsi"/>
          <w:bCs/>
          <w:sz w:val="20"/>
          <w:szCs w:val="20"/>
        </w:rPr>
        <w:t xml:space="preserve"> </w:t>
      </w:r>
      <w:proofErr w:type="spellStart"/>
      <w:r w:rsidRPr="005F18C6">
        <w:rPr>
          <w:rFonts w:asciiTheme="minorHAnsi" w:hAnsiTheme="minorHAnsi"/>
          <w:bCs/>
          <w:sz w:val="20"/>
          <w:szCs w:val="20"/>
        </w:rPr>
        <w:t>mesecu</w:t>
      </w:r>
      <w:proofErr w:type="spellEnd"/>
      <w:r w:rsidRPr="005F18C6">
        <w:rPr>
          <w:rFonts w:asciiTheme="minorHAnsi" w:hAnsiTheme="minorHAnsi"/>
          <w:bCs/>
          <w:sz w:val="20"/>
          <w:szCs w:val="20"/>
        </w:rPr>
        <w:t xml:space="preserve"> u </w:t>
      </w:r>
      <w:proofErr w:type="spellStart"/>
      <w:r w:rsidRPr="005F18C6">
        <w:rPr>
          <w:rFonts w:asciiTheme="minorHAnsi" w:hAnsiTheme="minorHAnsi"/>
          <w:bCs/>
          <w:sz w:val="20"/>
          <w:szCs w:val="20"/>
        </w:rPr>
        <w:t>kome</w:t>
      </w:r>
      <w:proofErr w:type="spellEnd"/>
      <w:r w:rsidRPr="005F18C6">
        <w:rPr>
          <w:rFonts w:asciiTheme="minorHAnsi" w:hAnsiTheme="minorHAnsi"/>
          <w:bCs/>
          <w:sz w:val="20"/>
          <w:szCs w:val="20"/>
        </w:rPr>
        <w:t xml:space="preserve"> je </w:t>
      </w:r>
      <w:proofErr w:type="spellStart"/>
      <w:r w:rsidRPr="005F18C6">
        <w:rPr>
          <w:rFonts w:asciiTheme="minorHAnsi" w:hAnsiTheme="minorHAnsi"/>
          <w:bCs/>
          <w:sz w:val="20"/>
          <w:szCs w:val="20"/>
        </w:rPr>
        <w:t>podnet</w:t>
      </w:r>
      <w:proofErr w:type="spellEnd"/>
      <w:r w:rsidRPr="005F18C6">
        <w:rPr>
          <w:rFonts w:asciiTheme="minorHAnsi" w:hAnsiTheme="minorHAnsi"/>
          <w:bCs/>
          <w:sz w:val="20"/>
          <w:szCs w:val="20"/>
        </w:rPr>
        <w:t xml:space="preserve"> </w:t>
      </w:r>
      <w:proofErr w:type="spellStart"/>
      <w:r w:rsidRPr="005F18C6">
        <w:rPr>
          <w:rFonts w:asciiTheme="minorHAnsi" w:hAnsiTheme="minorHAnsi"/>
          <w:bCs/>
          <w:sz w:val="20"/>
          <w:szCs w:val="20"/>
        </w:rPr>
        <w:t>zahtev</w:t>
      </w:r>
      <w:proofErr w:type="spellEnd"/>
      <w:r w:rsidRPr="005F18C6">
        <w:rPr>
          <w:rFonts w:asciiTheme="minorHAnsi" w:hAnsiTheme="minorHAnsi"/>
          <w:bCs/>
          <w:sz w:val="20"/>
          <w:szCs w:val="20"/>
        </w:rPr>
        <w:t xml:space="preserve">, po </w:t>
      </w:r>
      <w:proofErr w:type="spellStart"/>
      <w:r w:rsidRPr="005F18C6">
        <w:rPr>
          <w:rFonts w:asciiTheme="minorHAnsi" w:hAnsiTheme="minorHAnsi"/>
          <w:bCs/>
          <w:sz w:val="20"/>
          <w:szCs w:val="20"/>
        </w:rPr>
        <w:t>članu</w:t>
      </w:r>
      <w:proofErr w:type="spellEnd"/>
      <w:r w:rsidRPr="005F18C6">
        <w:rPr>
          <w:rFonts w:asciiTheme="minorHAnsi" w:hAnsiTheme="minorHAnsi"/>
          <w:bCs/>
          <w:sz w:val="20"/>
          <w:szCs w:val="20"/>
        </w:rPr>
        <w:t xml:space="preserve"> </w:t>
      </w:r>
      <w:proofErr w:type="spellStart"/>
      <w:r w:rsidRPr="005F18C6">
        <w:rPr>
          <w:rFonts w:asciiTheme="minorHAnsi" w:hAnsiTheme="minorHAnsi"/>
          <w:bCs/>
          <w:sz w:val="20"/>
          <w:szCs w:val="20"/>
        </w:rPr>
        <w:t>porodice</w:t>
      </w:r>
      <w:proofErr w:type="spellEnd"/>
      <w:r w:rsidRPr="005F18C6">
        <w:rPr>
          <w:rFonts w:asciiTheme="minorHAnsi" w:hAnsiTheme="minorHAnsi"/>
          <w:bCs/>
          <w:sz w:val="20"/>
          <w:szCs w:val="20"/>
        </w:rPr>
        <w:t xml:space="preserve"> ne </w:t>
      </w:r>
      <w:proofErr w:type="spellStart"/>
      <w:r w:rsidRPr="005F18C6">
        <w:rPr>
          <w:rFonts w:asciiTheme="minorHAnsi" w:hAnsiTheme="minorHAnsi"/>
          <w:bCs/>
          <w:sz w:val="20"/>
          <w:szCs w:val="20"/>
        </w:rPr>
        <w:t>prelazi</w:t>
      </w:r>
      <w:proofErr w:type="spellEnd"/>
      <w:r w:rsidRPr="005F18C6">
        <w:rPr>
          <w:rFonts w:asciiTheme="minorHAnsi" w:hAnsiTheme="minorHAnsi"/>
          <w:bCs/>
          <w:sz w:val="20"/>
          <w:szCs w:val="20"/>
        </w:rPr>
        <w:t xml:space="preserve"> </w:t>
      </w:r>
      <w:proofErr w:type="spellStart"/>
      <w:r w:rsidRPr="005F18C6">
        <w:rPr>
          <w:rFonts w:asciiTheme="minorHAnsi" w:hAnsiTheme="minorHAnsi"/>
          <w:bCs/>
          <w:sz w:val="20"/>
          <w:szCs w:val="20"/>
        </w:rPr>
        <w:t>cenzus</w:t>
      </w:r>
      <w:proofErr w:type="spellEnd"/>
      <w:r w:rsidRPr="005F18C6">
        <w:rPr>
          <w:rFonts w:asciiTheme="minorHAnsi" w:hAnsiTheme="minorHAnsi"/>
          <w:bCs/>
          <w:sz w:val="20"/>
          <w:szCs w:val="20"/>
        </w:rPr>
        <w:t xml:space="preserve"> od 9.000 </w:t>
      </w:r>
      <w:r>
        <w:rPr>
          <w:rFonts w:asciiTheme="minorHAnsi" w:hAnsiTheme="minorHAnsi"/>
          <w:bCs/>
          <w:sz w:val="20"/>
          <w:szCs w:val="20"/>
          <w:lang w:val="sr-Latn-RS"/>
        </w:rPr>
        <w:t>RSD</w:t>
      </w:r>
      <w:r w:rsidRPr="005F18C6">
        <w:rPr>
          <w:rFonts w:asciiTheme="minorHAnsi" w:hAnsiTheme="minorHAnsi"/>
          <w:bCs/>
          <w:sz w:val="20"/>
          <w:szCs w:val="20"/>
        </w:rPr>
        <w:t xml:space="preserve">. </w:t>
      </w:r>
    </w:p>
  </w:footnote>
  <w:footnote w:id="8">
    <w:p w14:paraId="3F073586" w14:textId="57A60A33" w:rsidR="00E44774" w:rsidRPr="00C11EB5" w:rsidRDefault="00E44774" w:rsidP="00FB740D">
      <w:pPr>
        <w:pStyle w:val="FootnoteText"/>
        <w:jc w:val="both"/>
        <w:rPr>
          <w:rFonts w:cs="Times"/>
          <w:color w:val="000000"/>
          <w:sz w:val="20"/>
          <w:szCs w:val="20"/>
          <w:lang w:val="sr-Latn-RS"/>
        </w:rPr>
      </w:pPr>
      <w:r w:rsidRPr="005A1B51">
        <w:rPr>
          <w:rStyle w:val="FootnoteReference"/>
          <w:sz w:val="20"/>
          <w:szCs w:val="20"/>
          <w:lang w:val="sr-Latn-RS"/>
        </w:rPr>
        <w:footnoteRef/>
      </w:r>
      <w:r w:rsidRPr="005A1B51">
        <w:rPr>
          <w:sz w:val="20"/>
          <w:szCs w:val="20"/>
          <w:lang w:val="sr-Latn-RS"/>
        </w:rPr>
        <w:t xml:space="preserve"> </w:t>
      </w:r>
      <w:r w:rsidRPr="005A1B51">
        <w:rPr>
          <w:sz w:val="20"/>
          <w:szCs w:val="20"/>
          <w:lang w:val="sr-Latn-RS"/>
        </w:rPr>
        <w:t>Prema ranijim istraživanjima Stanić, K. (2012)  koje je sprovedeno za potrebe skupa razmene iskustava “Dodeljivanje prava na dečiji dodatak i novčanu socijalnu pomoć́”</w:t>
      </w:r>
      <w:r>
        <w:rPr>
          <w:sz w:val="20"/>
          <w:szCs w:val="20"/>
          <w:lang w:val="sr-Latn-RS"/>
        </w:rPr>
        <w:t>,</w:t>
      </w:r>
      <w:r w:rsidRPr="005A1B51">
        <w:rPr>
          <w:sz w:val="20"/>
          <w:szCs w:val="20"/>
          <w:lang w:val="sr-Latn-RS"/>
        </w:rPr>
        <w:t xml:space="preserve"> razlike u obuhvatu</w:t>
      </w:r>
      <w:r>
        <w:rPr>
          <w:sz w:val="20"/>
          <w:szCs w:val="20"/>
          <w:lang w:val="sr-Latn-RS"/>
        </w:rPr>
        <w:t xml:space="preserve"> programom i NDP i DD </w:t>
      </w:r>
      <w:r w:rsidRPr="005A1B51">
        <w:rPr>
          <w:sz w:val="20"/>
          <w:szCs w:val="20"/>
          <w:lang w:val="sr-Latn-RS"/>
        </w:rPr>
        <w:t xml:space="preserve"> se samo u pojedinim JLS mogu objasniti različitim nivoom životnog standarda stanovništva. Deo razlika je rezultat </w:t>
      </w:r>
      <w:r w:rsidRPr="005A1B51">
        <w:rPr>
          <w:rFonts w:cs="Times"/>
          <w:color w:val="000000"/>
          <w:sz w:val="20"/>
          <w:szCs w:val="20"/>
          <w:lang w:val="sr-Latn-RS"/>
        </w:rPr>
        <w:t>različite administrativne prakse, različitog postupanja u slučaju terenskog rada i diskrecionog pripisivanja propuštenih zarada, pa i definisanja ko</w:t>
      </w:r>
      <w:r>
        <w:rPr>
          <w:rFonts w:cs="Times"/>
          <w:color w:val="000000"/>
          <w:sz w:val="20"/>
          <w:szCs w:val="20"/>
          <w:lang w:val="sr-Latn-RS"/>
        </w:rPr>
        <w:t xml:space="preserve">ncepta </w:t>
      </w:r>
      <w:r w:rsidRPr="005A1B51">
        <w:rPr>
          <w:rFonts w:cs="Times"/>
          <w:color w:val="000000"/>
          <w:sz w:val="20"/>
          <w:szCs w:val="20"/>
          <w:lang w:val="sr-Latn-RS"/>
        </w:rPr>
        <w:t>zajedničko</w:t>
      </w:r>
      <w:r>
        <w:rPr>
          <w:rFonts w:cs="Times"/>
          <w:color w:val="000000"/>
          <w:sz w:val="20"/>
          <w:szCs w:val="20"/>
          <w:lang w:val="sr-Latn-RS"/>
        </w:rPr>
        <w:t>g</w:t>
      </w:r>
      <w:r w:rsidRPr="005A1B51">
        <w:rPr>
          <w:rFonts w:cs="Times"/>
          <w:color w:val="000000"/>
          <w:sz w:val="20"/>
          <w:szCs w:val="20"/>
          <w:lang w:val="sr-Latn-RS"/>
        </w:rPr>
        <w:t xml:space="preserve"> domaćinstv</w:t>
      </w:r>
      <w:r>
        <w:rPr>
          <w:rFonts w:cs="Times"/>
          <w:color w:val="000000"/>
          <w:sz w:val="20"/>
          <w:szCs w:val="20"/>
          <w:lang w:val="sr-Latn-RS"/>
        </w:rPr>
        <w:t>a</w:t>
      </w:r>
      <w:r w:rsidRPr="005A1B51">
        <w:rPr>
          <w:rFonts w:cs="Times"/>
          <w:color w:val="000000"/>
          <w:sz w:val="20"/>
          <w:szCs w:val="20"/>
          <w:lang w:val="sr-Latn-RS"/>
        </w:rPr>
        <w:t>. U pojedinim sredinama prisutni su I stigma I nedovoljna informisanost potencijalnih korisnika.</w:t>
      </w:r>
    </w:p>
  </w:footnote>
  <w:footnote w:id="9">
    <w:p w14:paraId="251EECE5" w14:textId="77777777" w:rsidR="00E44774" w:rsidRPr="007B5E5D" w:rsidRDefault="00E44774" w:rsidP="008824FB">
      <w:pPr>
        <w:pStyle w:val="FootnoteText"/>
        <w:rPr>
          <w:sz w:val="20"/>
          <w:szCs w:val="20"/>
          <w:lang w:val="sr-Latn-RS"/>
        </w:rPr>
      </w:pPr>
      <w:r w:rsidRPr="007B5E5D">
        <w:rPr>
          <w:rStyle w:val="FootnoteReference"/>
          <w:sz w:val="20"/>
          <w:szCs w:val="20"/>
        </w:rPr>
        <w:footnoteRef/>
      </w:r>
      <w:r w:rsidRPr="007B5E5D">
        <w:rPr>
          <w:sz w:val="20"/>
          <w:szCs w:val="20"/>
        </w:rPr>
        <w:t xml:space="preserve"> </w:t>
      </w:r>
      <w:r w:rsidRPr="007B5E5D">
        <w:rPr>
          <w:sz w:val="20"/>
          <w:szCs w:val="20"/>
          <w:lang w:val="sr-Latn-RS"/>
        </w:rPr>
        <w:t>Procenjeno na osnovu kretanja vrednosti DevInfo indikator</w:t>
      </w:r>
      <w:r>
        <w:rPr>
          <w:sz w:val="20"/>
          <w:szCs w:val="20"/>
          <w:lang w:val="sr-Latn-RS"/>
        </w:rPr>
        <w:t>a</w:t>
      </w:r>
      <w:r w:rsidRPr="007B5E5D">
        <w:rPr>
          <w:sz w:val="20"/>
          <w:szCs w:val="20"/>
          <w:lang w:val="sr-Latn-RS"/>
        </w:rPr>
        <w:t xml:space="preserve"> „Udeo korisnika dečijeg dodatka u ukupnoj populaciji dece”</w:t>
      </w:r>
    </w:p>
  </w:footnote>
  <w:footnote w:id="10">
    <w:p w14:paraId="45A43E73" w14:textId="77777777" w:rsidR="00E44774" w:rsidRPr="00B26E97" w:rsidRDefault="00E44774" w:rsidP="00355EB0">
      <w:pPr>
        <w:pStyle w:val="FootnoteText"/>
        <w:spacing w:after="120"/>
        <w:jc w:val="both"/>
        <w:rPr>
          <w:sz w:val="20"/>
          <w:szCs w:val="20"/>
          <w:lang w:val="sr-Latn-RS"/>
        </w:rPr>
      </w:pPr>
      <w:r w:rsidRPr="00B26E97">
        <w:rPr>
          <w:rStyle w:val="FootnoteReference"/>
          <w:sz w:val="20"/>
          <w:szCs w:val="20"/>
          <w:lang w:val="sr-Latn-RS"/>
        </w:rPr>
        <w:footnoteRef/>
      </w:r>
      <w:r w:rsidRPr="00B26E97">
        <w:rPr>
          <w:sz w:val="20"/>
          <w:szCs w:val="20"/>
          <w:lang w:val="sr-Latn-RS"/>
        </w:rPr>
        <w:t xml:space="preserve"> Indeks </w:t>
      </w:r>
      <w:r w:rsidRPr="00B26E97">
        <w:rPr>
          <w:sz w:val="20"/>
          <w:szCs w:val="20"/>
          <w:lang w:val="sr-Latn-RS"/>
        </w:rPr>
        <w:t>dečijeg blagostanja (UNICEF); Indeks društvenog razvoja opština (SIPRU)</w:t>
      </w:r>
    </w:p>
  </w:footnote>
  <w:footnote w:id="11">
    <w:p w14:paraId="2EF15E71" w14:textId="281215BF" w:rsidR="00E44774" w:rsidRPr="00076D2D" w:rsidRDefault="00E44774">
      <w:pPr>
        <w:pStyle w:val="FootnoteText"/>
        <w:rPr>
          <w:sz w:val="20"/>
          <w:szCs w:val="20"/>
          <w:lang w:val="sr-Latn-RS"/>
        </w:rPr>
      </w:pPr>
      <w:r w:rsidRPr="00076D2D">
        <w:rPr>
          <w:rStyle w:val="FootnoteReference"/>
          <w:sz w:val="20"/>
          <w:szCs w:val="20"/>
        </w:rPr>
        <w:footnoteRef/>
      </w:r>
      <w:r w:rsidRPr="00076D2D">
        <w:rPr>
          <w:sz w:val="20"/>
          <w:szCs w:val="20"/>
        </w:rPr>
        <w:t xml:space="preserve"> </w:t>
      </w:r>
      <w:r w:rsidRPr="00076D2D">
        <w:rPr>
          <w:sz w:val="20"/>
          <w:szCs w:val="20"/>
          <w:lang w:val="sr-Latn-RS"/>
        </w:rPr>
        <w:t xml:space="preserve">DevInfo </w:t>
      </w:r>
      <w:r w:rsidRPr="00076D2D">
        <w:rPr>
          <w:sz w:val="20"/>
          <w:szCs w:val="20"/>
          <w:lang w:val="sr-Latn-RS"/>
        </w:rPr>
        <w:t>baza podataka, indikator</w:t>
      </w:r>
      <w:r>
        <w:rPr>
          <w:sz w:val="20"/>
          <w:szCs w:val="20"/>
          <w:lang w:val="sr-Latn-RS"/>
        </w:rPr>
        <w:t xml:space="preserve"> “</w:t>
      </w:r>
      <w:r w:rsidRPr="00076D2D">
        <w:rPr>
          <w:sz w:val="20"/>
          <w:szCs w:val="20"/>
          <w:lang w:val="sr-Latn-RS"/>
        </w:rPr>
        <w:t>Ukupan broj korisnika socijalne zaštite na evidenciji Centra za socijalni rad</w:t>
      </w:r>
      <w:r>
        <w:rPr>
          <w:sz w:val="20"/>
          <w:szCs w:val="20"/>
          <w:lang w:val="sr-Latn-RS"/>
        </w:rPr>
        <w:t>“</w:t>
      </w:r>
      <w:r w:rsidRPr="00076D2D">
        <w:rPr>
          <w:sz w:val="20"/>
          <w:szCs w:val="20"/>
          <w:lang w:val="sr-Latn-RS"/>
        </w:rPr>
        <w:t xml:space="preserve"> </w:t>
      </w:r>
    </w:p>
  </w:footnote>
  <w:footnote w:id="12">
    <w:p w14:paraId="7F8CB1D1" w14:textId="77777777" w:rsidR="00E44774" w:rsidRPr="00E86EFD" w:rsidRDefault="00E44774" w:rsidP="00076D2D">
      <w:pPr>
        <w:pStyle w:val="FootnoteText"/>
        <w:rPr>
          <w:sz w:val="20"/>
          <w:szCs w:val="20"/>
          <w:lang w:val="sr-Latn-RS"/>
        </w:rPr>
      </w:pPr>
      <w:r w:rsidRPr="00E86EFD">
        <w:rPr>
          <w:rStyle w:val="FootnoteReference"/>
          <w:sz w:val="20"/>
          <w:szCs w:val="20"/>
        </w:rPr>
        <w:footnoteRef/>
      </w:r>
      <w:r w:rsidRPr="00E86EFD">
        <w:rPr>
          <w:sz w:val="20"/>
          <w:szCs w:val="20"/>
        </w:rPr>
        <w:t xml:space="preserve"> </w:t>
      </w:r>
      <w:r w:rsidRPr="00E86EFD">
        <w:rPr>
          <w:sz w:val="20"/>
          <w:szCs w:val="20"/>
          <w:lang w:val="sr-Latn-RS"/>
        </w:rPr>
        <w:t xml:space="preserve"> </w:t>
      </w:r>
      <w:hyperlink r:id="rId2" w:history="1">
        <w:r w:rsidRPr="00E86EFD">
          <w:rPr>
            <w:rStyle w:val="Hyperlink"/>
            <w:sz w:val="20"/>
            <w:szCs w:val="20"/>
            <w:lang w:val="sr-Latn-RS"/>
          </w:rPr>
          <w:t>http://sdg.indikatori.rs/sr-latn/area/no-poverty/?subarea=SDGUN010301&amp;indicator=010301IND02</w:t>
        </w:r>
      </w:hyperlink>
      <w:r w:rsidRPr="00E86EFD">
        <w:rPr>
          <w:sz w:val="20"/>
          <w:szCs w:val="20"/>
          <w:lang w:val="sr-Latn-RS"/>
        </w:rPr>
        <w:t xml:space="preserve"> </w:t>
      </w:r>
    </w:p>
  </w:footnote>
  <w:footnote w:id="13">
    <w:p w14:paraId="2BA0AF7C" w14:textId="7807213A" w:rsidR="00E44774" w:rsidRPr="009C6002" w:rsidRDefault="00E44774">
      <w:pPr>
        <w:pStyle w:val="FootnoteText"/>
        <w:rPr>
          <w:sz w:val="20"/>
          <w:szCs w:val="20"/>
          <w:lang w:val="sr-Latn-RS"/>
        </w:rPr>
      </w:pPr>
      <w:r w:rsidRPr="009C6002">
        <w:rPr>
          <w:rStyle w:val="FootnoteReference"/>
          <w:sz w:val="20"/>
          <w:szCs w:val="20"/>
        </w:rPr>
        <w:footnoteRef/>
      </w:r>
      <w:r w:rsidRPr="009C6002">
        <w:rPr>
          <w:sz w:val="20"/>
          <w:szCs w:val="20"/>
        </w:rPr>
        <w:t xml:space="preserve"> </w:t>
      </w:r>
      <w:r w:rsidRPr="005A1B51">
        <w:rPr>
          <w:sz w:val="20"/>
          <w:szCs w:val="20"/>
          <w:lang w:val="sr-Latn-RS"/>
        </w:rPr>
        <w:t xml:space="preserve">Prema </w:t>
      </w:r>
      <w:r w:rsidRPr="005A1B51">
        <w:rPr>
          <w:sz w:val="20"/>
          <w:szCs w:val="20"/>
          <w:lang w:val="sr-Latn-RS"/>
        </w:rPr>
        <w:t xml:space="preserve">najnovijem izveštaju </w:t>
      </w:r>
      <w:r w:rsidR="00102390">
        <w:fldChar w:fldCharType="begin"/>
      </w:r>
      <w:r w:rsidR="00102390">
        <w:instrText xml:space="preserve"> HYPERLINK "http://www.zav</w:instrText>
      </w:r>
      <w:r w:rsidR="00102390">
        <w:instrText xml:space="preserve">odsz.gov.rs/media/2001/punoletni-u-sistemu-sz-2019.pdf" </w:instrText>
      </w:r>
      <w:r w:rsidR="00102390">
        <w:fldChar w:fldCharType="separate"/>
      </w:r>
      <w:r w:rsidRPr="005A1B51">
        <w:rPr>
          <w:rStyle w:val="Hyperlink"/>
          <w:sz w:val="20"/>
          <w:szCs w:val="20"/>
          <w:lang w:val="sr-Latn-RS"/>
        </w:rPr>
        <w:t>Punoletni u sistemu socijalne zaštite 2019</w:t>
      </w:r>
      <w:r w:rsidR="00102390">
        <w:rPr>
          <w:rStyle w:val="Hyperlink"/>
          <w:sz w:val="20"/>
          <w:szCs w:val="20"/>
          <w:lang w:val="sr-Latn-RS"/>
        </w:rPr>
        <w:fldChar w:fldCharType="end"/>
      </w:r>
      <w:r w:rsidRPr="005A1B51">
        <w:rPr>
          <w:sz w:val="20"/>
          <w:szCs w:val="20"/>
          <w:lang w:val="sr-Latn-RS"/>
        </w:rPr>
        <w:t xml:space="preserve">. Republičkog zavoda za socijalnu zaštitu, </w:t>
      </w:r>
      <w:r w:rsidRPr="009C6002">
        <w:rPr>
          <w:sz w:val="20"/>
          <w:szCs w:val="20"/>
        </w:rPr>
        <w:t xml:space="preserve"> </w:t>
      </w:r>
      <w:r>
        <w:rPr>
          <w:sz w:val="20"/>
          <w:szCs w:val="20"/>
        </w:rPr>
        <w:t xml:space="preserve">u </w:t>
      </w:r>
      <w:proofErr w:type="spellStart"/>
      <w:r>
        <w:rPr>
          <w:sz w:val="20"/>
          <w:szCs w:val="20"/>
        </w:rPr>
        <w:t>Republici</w:t>
      </w:r>
      <w:proofErr w:type="spellEnd"/>
      <w:r>
        <w:rPr>
          <w:sz w:val="20"/>
          <w:szCs w:val="20"/>
        </w:rPr>
        <w:t xml:space="preserve"> </w:t>
      </w:r>
      <w:proofErr w:type="spellStart"/>
      <w:r>
        <w:rPr>
          <w:sz w:val="20"/>
          <w:szCs w:val="20"/>
        </w:rPr>
        <w:t>Srbiji</w:t>
      </w:r>
      <w:proofErr w:type="spellEnd"/>
      <w:r>
        <w:rPr>
          <w:sz w:val="20"/>
          <w:szCs w:val="20"/>
        </w:rPr>
        <w:t xml:space="preserve"> je </w:t>
      </w:r>
      <w:r>
        <w:rPr>
          <w:sz w:val="20"/>
          <w:szCs w:val="20"/>
          <w:lang w:val="sr-Cyrl-RS"/>
        </w:rPr>
        <w:t xml:space="preserve">2019.  </w:t>
      </w:r>
      <w:r w:rsidRPr="009C6002">
        <w:rPr>
          <w:sz w:val="20"/>
          <w:szCs w:val="20"/>
        </w:rPr>
        <w:t xml:space="preserve">u </w:t>
      </w:r>
      <w:proofErr w:type="spellStart"/>
      <w:r w:rsidRPr="009C6002">
        <w:rPr>
          <w:sz w:val="20"/>
          <w:szCs w:val="20"/>
        </w:rPr>
        <w:t>ustanovama</w:t>
      </w:r>
      <w:proofErr w:type="spellEnd"/>
      <w:r w:rsidRPr="009C6002">
        <w:rPr>
          <w:sz w:val="20"/>
          <w:szCs w:val="20"/>
        </w:rPr>
        <w:t xml:space="preserve"> za </w:t>
      </w:r>
      <w:proofErr w:type="spellStart"/>
      <w:r w:rsidRPr="009C6002">
        <w:rPr>
          <w:sz w:val="20"/>
          <w:szCs w:val="20"/>
        </w:rPr>
        <w:t>odrasle</w:t>
      </w:r>
      <w:proofErr w:type="spellEnd"/>
      <w:r w:rsidRPr="009C6002">
        <w:rPr>
          <w:sz w:val="20"/>
          <w:szCs w:val="20"/>
        </w:rPr>
        <w:t xml:space="preserve"> </w:t>
      </w:r>
      <w:proofErr w:type="spellStart"/>
      <w:r w:rsidRPr="009C6002">
        <w:rPr>
          <w:sz w:val="20"/>
          <w:szCs w:val="20"/>
        </w:rPr>
        <w:t>i</w:t>
      </w:r>
      <w:proofErr w:type="spellEnd"/>
      <w:r w:rsidRPr="009C6002">
        <w:rPr>
          <w:sz w:val="20"/>
          <w:szCs w:val="20"/>
        </w:rPr>
        <w:t xml:space="preserve"> </w:t>
      </w:r>
      <w:proofErr w:type="spellStart"/>
      <w:r w:rsidRPr="009C6002">
        <w:rPr>
          <w:sz w:val="20"/>
          <w:szCs w:val="20"/>
        </w:rPr>
        <w:t>starije</w:t>
      </w:r>
      <w:proofErr w:type="spellEnd"/>
      <w:r w:rsidRPr="009C6002">
        <w:rPr>
          <w:sz w:val="20"/>
          <w:szCs w:val="20"/>
        </w:rPr>
        <w:t xml:space="preserve"> u </w:t>
      </w:r>
      <w:proofErr w:type="spellStart"/>
      <w:r w:rsidRPr="009C6002">
        <w:rPr>
          <w:sz w:val="20"/>
          <w:szCs w:val="20"/>
        </w:rPr>
        <w:t>javnom</w:t>
      </w:r>
      <w:proofErr w:type="spellEnd"/>
      <w:r w:rsidRPr="009C6002">
        <w:rPr>
          <w:sz w:val="20"/>
          <w:szCs w:val="20"/>
        </w:rPr>
        <w:t xml:space="preserve"> </w:t>
      </w:r>
      <w:proofErr w:type="spellStart"/>
      <w:r w:rsidRPr="009C6002">
        <w:rPr>
          <w:sz w:val="20"/>
          <w:szCs w:val="20"/>
        </w:rPr>
        <w:t>sektoru</w:t>
      </w:r>
      <w:proofErr w:type="spellEnd"/>
      <w:r w:rsidRPr="009C6002">
        <w:rPr>
          <w:sz w:val="20"/>
          <w:szCs w:val="20"/>
        </w:rPr>
        <w:t xml:space="preserve"> </w:t>
      </w:r>
      <w:proofErr w:type="spellStart"/>
      <w:r w:rsidRPr="009C6002">
        <w:rPr>
          <w:sz w:val="20"/>
          <w:szCs w:val="20"/>
        </w:rPr>
        <w:t>smešteno</w:t>
      </w:r>
      <w:proofErr w:type="spellEnd"/>
      <w:r w:rsidRPr="009C6002">
        <w:rPr>
          <w:sz w:val="20"/>
          <w:szCs w:val="20"/>
        </w:rPr>
        <w:t xml:space="preserve"> 8.444 </w:t>
      </w:r>
      <w:proofErr w:type="spellStart"/>
      <w:r w:rsidRPr="009C6002">
        <w:rPr>
          <w:sz w:val="20"/>
          <w:szCs w:val="20"/>
        </w:rPr>
        <w:t>korisnika</w:t>
      </w:r>
      <w:proofErr w:type="spellEnd"/>
      <w:r w:rsidRPr="009C6002">
        <w:rPr>
          <w:sz w:val="20"/>
          <w:szCs w:val="20"/>
        </w:rPr>
        <w:t xml:space="preserve">, a u </w:t>
      </w:r>
      <w:proofErr w:type="spellStart"/>
      <w:r w:rsidRPr="009C6002">
        <w:rPr>
          <w:sz w:val="20"/>
          <w:szCs w:val="20"/>
        </w:rPr>
        <w:t>privatnom</w:t>
      </w:r>
      <w:proofErr w:type="spellEnd"/>
      <w:r w:rsidRPr="009C6002">
        <w:rPr>
          <w:sz w:val="20"/>
          <w:szCs w:val="20"/>
        </w:rPr>
        <w:t xml:space="preserve"> </w:t>
      </w:r>
      <w:proofErr w:type="spellStart"/>
      <w:r w:rsidRPr="009C6002">
        <w:rPr>
          <w:sz w:val="20"/>
          <w:szCs w:val="20"/>
        </w:rPr>
        <w:t>sektoru</w:t>
      </w:r>
      <w:proofErr w:type="spellEnd"/>
      <w:r w:rsidRPr="009C6002">
        <w:rPr>
          <w:sz w:val="20"/>
          <w:szCs w:val="20"/>
        </w:rPr>
        <w:t xml:space="preserve"> 6.853. </w:t>
      </w:r>
    </w:p>
  </w:footnote>
  <w:footnote w:id="14">
    <w:p w14:paraId="585CFC67" w14:textId="77777777" w:rsidR="00E44774" w:rsidRPr="00474168" w:rsidRDefault="00E44774" w:rsidP="005C1C9E">
      <w:pPr>
        <w:pStyle w:val="FootnoteText"/>
        <w:rPr>
          <w:sz w:val="20"/>
          <w:szCs w:val="20"/>
          <w:lang w:val="sr-Latn-RS"/>
        </w:rPr>
      </w:pPr>
      <w:r w:rsidRPr="00474168">
        <w:rPr>
          <w:rStyle w:val="FootnoteReference"/>
          <w:sz w:val="20"/>
          <w:szCs w:val="20"/>
        </w:rPr>
        <w:footnoteRef/>
      </w:r>
      <w:r w:rsidRPr="00474168">
        <w:rPr>
          <w:sz w:val="20"/>
          <w:szCs w:val="20"/>
        </w:rPr>
        <w:t xml:space="preserve"> </w:t>
      </w:r>
      <w:r w:rsidRPr="00474168">
        <w:rPr>
          <w:sz w:val="20"/>
          <w:szCs w:val="20"/>
          <w:lang w:val="sr-Latn-RS"/>
        </w:rPr>
        <w:t>Videti više o vrstama materijalne podrške na lokalnim nivou u istraživanju</w:t>
      </w:r>
      <w:r>
        <w:rPr>
          <w:sz w:val="20"/>
          <w:szCs w:val="20"/>
          <w:lang w:val="sr-Latn-RS"/>
        </w:rPr>
        <w:t xml:space="preserve"> Matković i Stranjaković (2020)</w:t>
      </w:r>
      <w:r w:rsidRPr="00474168">
        <w:rPr>
          <w:sz w:val="20"/>
          <w:szCs w:val="20"/>
          <w:lang w:val="sr-Latn-RS"/>
        </w:rPr>
        <w:t xml:space="preserve"> </w:t>
      </w:r>
      <w:hyperlink r:id="rId3" w:history="1">
        <w:r w:rsidRPr="00474168">
          <w:rPr>
            <w:rStyle w:val="Hyperlink"/>
            <w:i/>
            <w:sz w:val="20"/>
            <w:szCs w:val="20"/>
            <w:lang w:val="sr-Latn-RS"/>
          </w:rPr>
          <w:t>Mapiranje usluga socijalne zaštite i materijalne podrške u nadležnosti JLS u Republici Srbiji</w:t>
        </w:r>
      </w:hyperlink>
      <w:r w:rsidRPr="00474168">
        <w:rPr>
          <w:rStyle w:val="Hyperlink"/>
          <w:i/>
          <w:sz w:val="20"/>
          <w:szCs w:val="20"/>
          <w:lang w:val="sr-Latn-RS"/>
        </w:rPr>
        <w:t xml:space="preserve"> </w:t>
      </w:r>
      <w:r w:rsidRPr="00474168">
        <w:rPr>
          <w:rStyle w:val="Hyperlink"/>
          <w:sz w:val="20"/>
          <w:szCs w:val="20"/>
          <w:lang w:val="sr-Latn-RS"/>
        </w:rPr>
        <w:t xml:space="preserve"> </w:t>
      </w:r>
    </w:p>
  </w:footnote>
  <w:footnote w:id="15">
    <w:p w14:paraId="6BACD0E9" w14:textId="43C6F6C5" w:rsidR="00E44774" w:rsidRPr="000758C9" w:rsidRDefault="00E44774" w:rsidP="00326317">
      <w:pPr>
        <w:pStyle w:val="NormalWeb"/>
        <w:spacing w:before="0" w:beforeAutospacing="0" w:after="0" w:afterAutospacing="0"/>
        <w:rPr>
          <w:rFonts w:asciiTheme="minorHAnsi" w:eastAsia="Times New Roman" w:hAnsiTheme="minorHAnsi"/>
          <w:sz w:val="20"/>
          <w:szCs w:val="20"/>
          <w:lang w:eastAsia="en-GB"/>
        </w:rPr>
      </w:pPr>
      <w:r w:rsidRPr="000758C9">
        <w:rPr>
          <w:rStyle w:val="FootnoteReference"/>
          <w:rFonts w:asciiTheme="minorHAnsi" w:hAnsiTheme="minorHAnsi"/>
          <w:sz w:val="20"/>
          <w:szCs w:val="20"/>
        </w:rPr>
        <w:footnoteRef/>
      </w:r>
      <w:r w:rsidRPr="000758C9">
        <w:rPr>
          <w:rFonts w:asciiTheme="minorHAnsi" w:hAnsiTheme="minorHAnsi"/>
          <w:sz w:val="20"/>
          <w:szCs w:val="20"/>
        </w:rPr>
        <w:t xml:space="preserve"> </w:t>
      </w:r>
      <w:proofErr w:type="spellStart"/>
      <w:r w:rsidRPr="000758C9">
        <w:rPr>
          <w:rFonts w:asciiTheme="minorHAnsi" w:eastAsia="Times New Roman" w:hAnsiTheme="minorHAnsi"/>
          <w:sz w:val="20"/>
          <w:szCs w:val="20"/>
          <w:lang w:eastAsia="en-GB"/>
        </w:rPr>
        <w:t>Uredba</w:t>
      </w:r>
      <w:proofErr w:type="spellEnd"/>
      <w:r w:rsidRPr="000758C9">
        <w:rPr>
          <w:rFonts w:asciiTheme="minorHAnsi" w:eastAsia="Times New Roman" w:hAnsiTheme="minorHAnsi"/>
          <w:sz w:val="20"/>
          <w:szCs w:val="20"/>
          <w:lang w:eastAsia="en-GB"/>
        </w:rPr>
        <w:t xml:space="preserve"> o </w:t>
      </w:r>
      <w:proofErr w:type="spellStart"/>
      <w:r w:rsidRPr="000758C9">
        <w:rPr>
          <w:rFonts w:asciiTheme="minorHAnsi" w:eastAsia="Times New Roman" w:hAnsiTheme="minorHAnsi"/>
          <w:sz w:val="20"/>
          <w:szCs w:val="20"/>
          <w:lang w:eastAsia="en-GB"/>
        </w:rPr>
        <w:t>namenskim</w:t>
      </w:r>
      <w:proofErr w:type="spellEnd"/>
      <w:r w:rsidRPr="000758C9">
        <w:rPr>
          <w:rFonts w:asciiTheme="minorHAnsi" w:eastAsia="Times New Roman" w:hAnsiTheme="minorHAnsi"/>
          <w:sz w:val="20"/>
          <w:szCs w:val="20"/>
          <w:lang w:eastAsia="en-GB"/>
        </w:rPr>
        <w:t xml:space="preserve"> </w:t>
      </w:r>
      <w:proofErr w:type="spellStart"/>
      <w:r w:rsidRPr="000758C9">
        <w:rPr>
          <w:rFonts w:asciiTheme="minorHAnsi" w:eastAsia="Times New Roman" w:hAnsiTheme="minorHAnsi"/>
          <w:sz w:val="20"/>
          <w:szCs w:val="20"/>
          <w:lang w:eastAsia="en-GB"/>
        </w:rPr>
        <w:t>transferima</w:t>
      </w:r>
      <w:proofErr w:type="spellEnd"/>
      <w:r w:rsidRPr="000758C9">
        <w:rPr>
          <w:rFonts w:asciiTheme="minorHAnsi" w:eastAsia="Times New Roman" w:hAnsiTheme="minorHAnsi"/>
          <w:sz w:val="20"/>
          <w:szCs w:val="20"/>
          <w:lang w:eastAsia="en-GB"/>
        </w:rPr>
        <w:t xml:space="preserve"> u </w:t>
      </w:r>
      <w:proofErr w:type="spellStart"/>
      <w:r w:rsidRPr="000758C9">
        <w:rPr>
          <w:rFonts w:asciiTheme="minorHAnsi" w:eastAsia="Times New Roman" w:hAnsiTheme="minorHAnsi"/>
          <w:sz w:val="20"/>
          <w:szCs w:val="20"/>
          <w:lang w:eastAsia="en-GB"/>
        </w:rPr>
        <w:t>socijalnoj</w:t>
      </w:r>
      <w:proofErr w:type="spellEnd"/>
      <w:r w:rsidRPr="000758C9">
        <w:rPr>
          <w:rFonts w:asciiTheme="minorHAnsi" w:eastAsia="Times New Roman" w:hAnsiTheme="minorHAnsi"/>
          <w:sz w:val="20"/>
          <w:szCs w:val="20"/>
          <w:lang w:eastAsia="en-GB"/>
        </w:rPr>
        <w:t xml:space="preserve"> </w:t>
      </w:r>
      <w:proofErr w:type="spellStart"/>
      <w:r w:rsidRPr="000758C9">
        <w:rPr>
          <w:rFonts w:asciiTheme="minorHAnsi" w:eastAsia="Times New Roman" w:hAnsiTheme="minorHAnsi"/>
          <w:sz w:val="20"/>
          <w:szCs w:val="20"/>
          <w:lang w:eastAsia="en-GB"/>
        </w:rPr>
        <w:t>zaštiti</w:t>
      </w:r>
      <w:proofErr w:type="spellEnd"/>
      <w:r w:rsidRPr="000758C9">
        <w:rPr>
          <w:rFonts w:asciiTheme="minorHAnsi" w:eastAsia="Times New Roman" w:hAnsiTheme="minorHAnsi"/>
          <w:sz w:val="20"/>
          <w:szCs w:val="20"/>
          <w:lang w:eastAsia="en-GB"/>
        </w:rPr>
        <w:t xml:space="preserve"> („</w:t>
      </w:r>
      <w:proofErr w:type="spellStart"/>
      <w:r w:rsidRPr="000758C9">
        <w:rPr>
          <w:rFonts w:asciiTheme="minorHAnsi" w:eastAsia="Times New Roman" w:hAnsiTheme="minorHAnsi"/>
          <w:sz w:val="20"/>
          <w:szCs w:val="20"/>
          <w:lang w:eastAsia="en-GB"/>
        </w:rPr>
        <w:t>Službeni</w:t>
      </w:r>
      <w:proofErr w:type="spellEnd"/>
      <w:r w:rsidRPr="000758C9">
        <w:rPr>
          <w:rFonts w:asciiTheme="minorHAnsi" w:eastAsia="Times New Roman" w:hAnsiTheme="minorHAnsi"/>
          <w:sz w:val="20"/>
          <w:szCs w:val="20"/>
          <w:lang w:eastAsia="en-GB"/>
        </w:rPr>
        <w:t xml:space="preserve"> </w:t>
      </w:r>
      <w:proofErr w:type="spellStart"/>
      <w:r w:rsidRPr="000758C9">
        <w:rPr>
          <w:rFonts w:asciiTheme="minorHAnsi" w:eastAsia="Times New Roman" w:hAnsiTheme="minorHAnsi"/>
          <w:sz w:val="20"/>
          <w:szCs w:val="20"/>
          <w:lang w:eastAsia="en-GB"/>
        </w:rPr>
        <w:t>glasnik</w:t>
      </w:r>
      <w:proofErr w:type="spellEnd"/>
      <w:r w:rsidRPr="000758C9">
        <w:rPr>
          <w:rFonts w:asciiTheme="minorHAnsi" w:eastAsia="Times New Roman" w:hAnsiTheme="minorHAnsi"/>
          <w:sz w:val="20"/>
          <w:szCs w:val="20"/>
          <w:lang w:eastAsia="en-GB"/>
        </w:rPr>
        <w:t xml:space="preserve"> RS“, </w:t>
      </w:r>
      <w:proofErr w:type="spellStart"/>
      <w:r w:rsidRPr="000758C9">
        <w:rPr>
          <w:rFonts w:asciiTheme="minorHAnsi" w:eastAsia="Times New Roman" w:hAnsiTheme="minorHAnsi"/>
          <w:sz w:val="20"/>
          <w:szCs w:val="20"/>
          <w:lang w:eastAsia="en-GB"/>
        </w:rPr>
        <w:t>broj</w:t>
      </w:r>
      <w:proofErr w:type="spellEnd"/>
      <w:r w:rsidRPr="000758C9">
        <w:rPr>
          <w:rFonts w:asciiTheme="minorHAnsi" w:eastAsia="Times New Roman" w:hAnsiTheme="minorHAnsi"/>
          <w:sz w:val="20"/>
          <w:szCs w:val="20"/>
          <w:lang w:eastAsia="en-GB"/>
        </w:rPr>
        <w:t xml:space="preserve"> 18/16) </w:t>
      </w:r>
    </w:p>
    <w:p w14:paraId="2C6E1705" w14:textId="5FD7626B" w:rsidR="00E44774" w:rsidRPr="00326317" w:rsidRDefault="00E44774">
      <w:pPr>
        <w:pStyle w:val="FootnoteText"/>
        <w:rPr>
          <w:lang w:val="sr-Latn-RS"/>
        </w:rPr>
      </w:pPr>
    </w:p>
  </w:footnote>
  <w:footnote w:id="16">
    <w:p w14:paraId="196B270A" w14:textId="77777777" w:rsidR="00E44774" w:rsidRPr="00045E78" w:rsidRDefault="00E44774" w:rsidP="00045E78">
      <w:pPr>
        <w:pStyle w:val="NormalWeb"/>
        <w:spacing w:before="0" w:beforeAutospacing="0" w:after="0" w:afterAutospacing="0"/>
        <w:jc w:val="both"/>
        <w:rPr>
          <w:rFonts w:asciiTheme="minorHAnsi" w:eastAsia="Times New Roman" w:hAnsiTheme="minorHAnsi" w:cstheme="minorHAnsi"/>
          <w:color w:val="000000" w:themeColor="text1"/>
          <w:sz w:val="20"/>
          <w:szCs w:val="20"/>
          <w:lang w:eastAsia="en-GB"/>
        </w:rPr>
      </w:pPr>
      <w:r w:rsidRPr="00045E78">
        <w:rPr>
          <w:rStyle w:val="FootnoteReference"/>
          <w:rFonts w:asciiTheme="minorHAnsi" w:hAnsiTheme="minorHAnsi" w:cstheme="minorHAnsi"/>
          <w:sz w:val="20"/>
          <w:szCs w:val="20"/>
        </w:rPr>
        <w:footnoteRef/>
      </w:r>
      <w:r w:rsidRPr="00045E78">
        <w:rPr>
          <w:rFonts w:asciiTheme="minorHAnsi" w:hAnsiTheme="minorHAnsi" w:cstheme="minorHAnsi"/>
          <w:sz w:val="20"/>
          <w:szCs w:val="20"/>
        </w:rPr>
        <w:t xml:space="preserve"> </w:t>
      </w:r>
      <w:r w:rsidRPr="00045E78">
        <w:rPr>
          <w:rFonts w:asciiTheme="minorHAnsi" w:hAnsiTheme="minorHAnsi" w:cstheme="minorHAnsi"/>
          <w:sz w:val="20"/>
          <w:szCs w:val="20"/>
          <w:lang w:val="sr-Latn-RS"/>
        </w:rPr>
        <w:t xml:space="preserve">Matković G., Stranjaković M. (2020), </w:t>
      </w:r>
      <w:r w:rsidR="00102390">
        <w:fldChar w:fldCharType="begin"/>
      </w:r>
      <w:r w:rsidR="00102390">
        <w:instrText xml:space="preserve"> HYPERLINK "http://socijalnoukljucivanje.gov.rs/wp-content/uploads/2020/09/Mapiranje_usluga_socijalne_zastite_i_materijalne_podrske_u_nadleznosti_JLS_u_RS.pdf" </w:instrText>
      </w:r>
      <w:r w:rsidR="00102390">
        <w:fldChar w:fldCharType="separate"/>
      </w:r>
      <w:r w:rsidRPr="00045E78">
        <w:rPr>
          <w:rFonts w:asciiTheme="minorHAnsi" w:hAnsiTheme="minorHAnsi" w:cstheme="minorHAnsi"/>
          <w:i/>
          <w:color w:val="0000FF"/>
          <w:sz w:val="20"/>
          <w:szCs w:val="20"/>
          <w:u w:val="single"/>
          <w:lang w:val="sr-Latn-RS"/>
        </w:rPr>
        <w:t>Mapiranje usluga socijalne zaštite i materijalne podrške u nadležnosti JLS u Republici Srbiji</w:t>
      </w:r>
      <w:r w:rsidR="00102390">
        <w:rPr>
          <w:rFonts w:asciiTheme="minorHAnsi" w:hAnsiTheme="minorHAnsi" w:cstheme="minorHAnsi"/>
          <w:i/>
          <w:color w:val="0000FF"/>
          <w:sz w:val="20"/>
          <w:szCs w:val="20"/>
          <w:u w:val="single"/>
          <w:lang w:val="sr-Latn-RS"/>
        </w:rPr>
        <w:fldChar w:fldCharType="end"/>
      </w:r>
      <w:r w:rsidRPr="00045E78">
        <w:rPr>
          <w:rFonts w:asciiTheme="minorHAnsi" w:hAnsiTheme="minorHAnsi" w:cstheme="minorHAnsi"/>
          <w:i/>
          <w:color w:val="0000FF"/>
          <w:sz w:val="20"/>
          <w:szCs w:val="20"/>
          <w:u w:val="single"/>
          <w:lang w:val="sr-Latn-RS"/>
        </w:rPr>
        <w:t xml:space="preserve">. </w:t>
      </w:r>
      <w:r w:rsidRPr="00045E78">
        <w:rPr>
          <w:rFonts w:asciiTheme="minorHAnsi" w:hAnsiTheme="minorHAnsi" w:cstheme="minorHAnsi"/>
          <w:iCs/>
          <w:color w:val="000000" w:themeColor="text1"/>
          <w:sz w:val="20"/>
          <w:szCs w:val="20"/>
          <w:lang w:val="sr-Latn-RS"/>
        </w:rPr>
        <w:t xml:space="preserve">Beograd: </w:t>
      </w:r>
      <w:r w:rsidRPr="00045E78">
        <w:rPr>
          <w:rFonts w:asciiTheme="minorHAnsi" w:eastAsia="Times New Roman" w:hAnsiTheme="minorHAnsi" w:cstheme="minorHAnsi"/>
          <w:color w:val="000000" w:themeColor="text1"/>
          <w:sz w:val="20"/>
          <w:szCs w:val="20"/>
          <w:lang w:eastAsia="en-GB"/>
        </w:rPr>
        <w:t xml:space="preserve">Tim za </w:t>
      </w:r>
      <w:proofErr w:type="spellStart"/>
      <w:r w:rsidRPr="00045E78">
        <w:rPr>
          <w:rFonts w:asciiTheme="minorHAnsi" w:eastAsia="Times New Roman" w:hAnsiTheme="minorHAnsi" w:cstheme="minorHAnsi"/>
          <w:color w:val="000000" w:themeColor="text1"/>
          <w:sz w:val="20"/>
          <w:szCs w:val="20"/>
          <w:lang w:eastAsia="en-GB"/>
        </w:rPr>
        <w:t>socijalno</w:t>
      </w:r>
      <w:proofErr w:type="spellEnd"/>
      <w:r w:rsidRPr="00045E78">
        <w:rPr>
          <w:rFonts w:asciiTheme="minorHAnsi" w:eastAsia="Times New Roman" w:hAnsiTheme="minorHAnsi" w:cstheme="minorHAnsi"/>
          <w:color w:val="000000" w:themeColor="text1"/>
          <w:sz w:val="20"/>
          <w:szCs w:val="20"/>
          <w:lang w:eastAsia="en-GB"/>
        </w:rPr>
        <w:t xml:space="preserve"> </w:t>
      </w:r>
      <w:proofErr w:type="spellStart"/>
      <w:r w:rsidRPr="00045E78">
        <w:rPr>
          <w:rFonts w:asciiTheme="minorHAnsi" w:eastAsia="Times New Roman" w:hAnsiTheme="minorHAnsi" w:cstheme="minorHAnsi"/>
          <w:color w:val="000000" w:themeColor="text1"/>
          <w:sz w:val="20"/>
          <w:szCs w:val="20"/>
          <w:lang w:eastAsia="en-GB"/>
        </w:rPr>
        <w:t>uključivanje</w:t>
      </w:r>
      <w:proofErr w:type="spellEnd"/>
      <w:r w:rsidRPr="00045E78">
        <w:rPr>
          <w:rFonts w:asciiTheme="minorHAnsi" w:eastAsia="Times New Roman" w:hAnsiTheme="minorHAnsi" w:cstheme="minorHAnsi"/>
          <w:color w:val="000000" w:themeColor="text1"/>
          <w:sz w:val="20"/>
          <w:szCs w:val="20"/>
          <w:lang w:eastAsia="en-GB"/>
        </w:rPr>
        <w:t xml:space="preserve"> </w:t>
      </w:r>
      <w:proofErr w:type="spellStart"/>
      <w:r w:rsidRPr="00045E78">
        <w:rPr>
          <w:rFonts w:asciiTheme="minorHAnsi" w:eastAsia="Times New Roman" w:hAnsiTheme="minorHAnsi" w:cstheme="minorHAnsi"/>
          <w:color w:val="000000" w:themeColor="text1"/>
          <w:sz w:val="20"/>
          <w:szCs w:val="20"/>
          <w:lang w:eastAsia="en-GB"/>
        </w:rPr>
        <w:t>i</w:t>
      </w:r>
      <w:proofErr w:type="spellEnd"/>
      <w:r w:rsidRPr="00045E78">
        <w:rPr>
          <w:rFonts w:asciiTheme="minorHAnsi" w:eastAsia="Times New Roman" w:hAnsiTheme="minorHAnsi" w:cstheme="minorHAnsi"/>
          <w:color w:val="000000" w:themeColor="text1"/>
          <w:sz w:val="20"/>
          <w:szCs w:val="20"/>
          <w:lang w:eastAsia="en-GB"/>
        </w:rPr>
        <w:t xml:space="preserve"> </w:t>
      </w:r>
      <w:proofErr w:type="spellStart"/>
      <w:r w:rsidRPr="00045E78">
        <w:rPr>
          <w:rFonts w:asciiTheme="minorHAnsi" w:eastAsia="Times New Roman" w:hAnsiTheme="minorHAnsi" w:cstheme="minorHAnsi"/>
          <w:color w:val="000000" w:themeColor="text1"/>
          <w:sz w:val="20"/>
          <w:szCs w:val="20"/>
          <w:lang w:eastAsia="en-GB"/>
        </w:rPr>
        <w:t>smanjenje</w:t>
      </w:r>
      <w:proofErr w:type="spellEnd"/>
      <w:r w:rsidRPr="00045E78">
        <w:rPr>
          <w:rFonts w:asciiTheme="minorHAnsi" w:eastAsia="Times New Roman" w:hAnsiTheme="minorHAnsi" w:cstheme="minorHAnsi"/>
          <w:color w:val="000000" w:themeColor="text1"/>
          <w:sz w:val="20"/>
          <w:szCs w:val="20"/>
          <w:lang w:eastAsia="en-GB"/>
        </w:rPr>
        <w:t xml:space="preserve"> </w:t>
      </w:r>
      <w:proofErr w:type="spellStart"/>
      <w:r w:rsidRPr="00045E78">
        <w:rPr>
          <w:rFonts w:asciiTheme="minorHAnsi" w:eastAsia="Times New Roman" w:hAnsiTheme="minorHAnsi" w:cstheme="minorHAnsi"/>
          <w:color w:val="000000" w:themeColor="text1"/>
          <w:sz w:val="20"/>
          <w:szCs w:val="20"/>
          <w:lang w:eastAsia="en-GB"/>
        </w:rPr>
        <w:t>siromaštva</w:t>
      </w:r>
      <w:proofErr w:type="spellEnd"/>
      <w:r w:rsidRPr="00045E78">
        <w:rPr>
          <w:rFonts w:asciiTheme="minorHAnsi" w:eastAsia="Times New Roman" w:hAnsiTheme="minorHAnsi" w:cstheme="minorHAnsi"/>
          <w:color w:val="000000" w:themeColor="text1"/>
          <w:sz w:val="20"/>
          <w:szCs w:val="20"/>
          <w:lang w:eastAsia="en-GB"/>
        </w:rPr>
        <w:t xml:space="preserve"> Vlade </w:t>
      </w:r>
      <w:proofErr w:type="spellStart"/>
      <w:r w:rsidRPr="00045E78">
        <w:rPr>
          <w:rFonts w:asciiTheme="minorHAnsi" w:eastAsia="Times New Roman" w:hAnsiTheme="minorHAnsi" w:cstheme="minorHAnsi"/>
          <w:color w:val="000000" w:themeColor="text1"/>
          <w:sz w:val="20"/>
          <w:szCs w:val="20"/>
          <w:lang w:eastAsia="en-GB"/>
        </w:rPr>
        <w:t>Republike</w:t>
      </w:r>
      <w:proofErr w:type="spellEnd"/>
      <w:r w:rsidRPr="00045E78">
        <w:rPr>
          <w:rFonts w:asciiTheme="minorHAnsi" w:eastAsia="Times New Roman" w:hAnsiTheme="minorHAnsi" w:cstheme="minorHAnsi"/>
          <w:color w:val="000000" w:themeColor="text1"/>
          <w:sz w:val="20"/>
          <w:szCs w:val="20"/>
          <w:lang w:eastAsia="en-GB"/>
        </w:rPr>
        <w:t xml:space="preserve"> </w:t>
      </w:r>
      <w:proofErr w:type="spellStart"/>
      <w:r w:rsidRPr="00045E78">
        <w:rPr>
          <w:rFonts w:asciiTheme="minorHAnsi" w:eastAsia="Times New Roman" w:hAnsiTheme="minorHAnsi" w:cstheme="minorHAnsi"/>
          <w:color w:val="000000" w:themeColor="text1"/>
          <w:sz w:val="20"/>
          <w:szCs w:val="20"/>
          <w:lang w:eastAsia="en-GB"/>
        </w:rPr>
        <w:t>Srbije</w:t>
      </w:r>
      <w:proofErr w:type="spellEnd"/>
      <w:r w:rsidRPr="00045E78">
        <w:rPr>
          <w:rFonts w:asciiTheme="minorHAnsi" w:eastAsia="Times New Roman" w:hAnsiTheme="minorHAnsi" w:cstheme="minorHAnsi"/>
          <w:color w:val="000000" w:themeColor="text1"/>
          <w:sz w:val="20"/>
          <w:szCs w:val="20"/>
          <w:lang w:val="sr-Latn-RS" w:eastAsia="en-GB"/>
        </w:rPr>
        <w:t>.</w:t>
      </w:r>
      <w:r w:rsidRPr="00045E78">
        <w:rPr>
          <w:rFonts w:asciiTheme="minorHAnsi" w:eastAsia="Times New Roman" w:hAnsiTheme="minorHAnsi" w:cstheme="minorHAnsi"/>
          <w:color w:val="000000" w:themeColor="text1"/>
          <w:sz w:val="20"/>
          <w:szCs w:val="20"/>
          <w:lang w:eastAsia="en-GB"/>
        </w:rPr>
        <w:t xml:space="preserve"> </w:t>
      </w:r>
    </w:p>
    <w:p w14:paraId="48A92F23" w14:textId="3EC56E12" w:rsidR="00E44774" w:rsidRPr="00045E78" w:rsidRDefault="00E44774" w:rsidP="006A0A5D">
      <w:pPr>
        <w:pStyle w:val="FootnoteText"/>
        <w:rPr>
          <w:iCs/>
          <w:sz w:val="18"/>
          <w:szCs w:val="18"/>
          <w:lang w:val="sr-Latn-RS"/>
        </w:rPr>
      </w:pPr>
    </w:p>
  </w:footnote>
  <w:footnote w:id="17">
    <w:p w14:paraId="3F5731FE" w14:textId="77777777" w:rsidR="00E44774" w:rsidRPr="00EF219B" w:rsidRDefault="00E44774" w:rsidP="001877CE">
      <w:pPr>
        <w:pStyle w:val="FootnoteText"/>
        <w:rPr>
          <w:lang w:val="sr-Latn-RS"/>
        </w:rPr>
      </w:pPr>
      <w:r>
        <w:rPr>
          <w:rStyle w:val="FootnoteReference"/>
        </w:rPr>
        <w:footnoteRef/>
      </w:r>
      <w:r>
        <w:t xml:space="preserve"> </w:t>
      </w:r>
      <w:r w:rsidRPr="00F35FA6">
        <w:rPr>
          <w:rFonts w:cstheme="minorHAnsi"/>
          <w:sz w:val="20"/>
          <w:szCs w:val="20"/>
          <w:lang w:val="sr-Latn-RS"/>
        </w:rPr>
        <w:t xml:space="preserve">Detaljnije </w:t>
      </w:r>
      <w:r w:rsidRPr="00F35FA6">
        <w:rPr>
          <w:rFonts w:cstheme="minorHAnsi"/>
          <w:sz w:val="20"/>
          <w:szCs w:val="20"/>
          <w:lang w:val="sr-Latn-RS"/>
        </w:rPr>
        <w:t xml:space="preserve">o indikatorima videti Matković́ i Šunderić́ (2020). </w:t>
      </w:r>
      <w:r w:rsidR="00102390">
        <w:fldChar w:fldCharType="begin"/>
      </w:r>
      <w:r w:rsidR="00102390">
        <w:instrText xml:space="preserve"> HYPERLINK "http://csp.org.rs/sr/assets/publications/files/Model_za_lokalizaciju_procesa_evropskih_integracija-socijalna_i_decija_zastita.pdf" </w:instrText>
      </w:r>
      <w:r w:rsidR="00102390">
        <w:fldChar w:fldCharType="separate"/>
      </w:r>
      <w:r w:rsidRPr="00F35FA6">
        <w:rPr>
          <w:rStyle w:val="Hyperlink"/>
          <w:rFonts w:cstheme="minorHAnsi"/>
          <w:sz w:val="20"/>
          <w:szCs w:val="20"/>
          <w:lang w:val="sr-Latn-RS"/>
        </w:rPr>
        <w:t xml:space="preserve">Model za lokalizaciju procesa evropskih integracija : za oblast socijalne i dečije zaštite. </w:t>
      </w:r>
      <w:r w:rsidR="00102390">
        <w:rPr>
          <w:rStyle w:val="Hyperlink"/>
          <w:rFonts w:cstheme="minorHAnsi"/>
          <w:sz w:val="20"/>
          <w:szCs w:val="20"/>
          <w:lang w:val="sr-Latn-RS"/>
        </w:rPr>
        <w:fldChar w:fldCharType="end"/>
      </w:r>
      <w:r>
        <w:rPr>
          <w:rFonts w:cstheme="minorHAnsi"/>
          <w:sz w:val="20"/>
          <w:szCs w:val="20"/>
          <w:lang w:val="sr-Latn-RS"/>
        </w:rPr>
        <w:t>Beograd: CSP.</w:t>
      </w:r>
    </w:p>
  </w:footnote>
  <w:footnote w:id="18">
    <w:p w14:paraId="2615D4B6" w14:textId="129BC3B9" w:rsidR="00E44774" w:rsidRPr="00BD1686" w:rsidRDefault="00E44774">
      <w:pPr>
        <w:pStyle w:val="FootnoteText"/>
        <w:rPr>
          <w:lang w:val="sr-Latn-RS"/>
        </w:rPr>
      </w:pPr>
      <w:r>
        <w:rPr>
          <w:rStyle w:val="FootnoteReference"/>
        </w:rPr>
        <w:footnoteRef/>
      </w:r>
      <w:r>
        <w:t xml:space="preserve"> </w:t>
      </w:r>
      <w:r w:rsidRPr="00600270">
        <w:rPr>
          <w:rFonts w:cstheme="minorHAnsi"/>
          <w:color w:val="000000" w:themeColor="text1"/>
          <w:sz w:val="20"/>
          <w:szCs w:val="20"/>
          <w:lang w:val="sr-Latn-RS"/>
        </w:rPr>
        <w:t xml:space="preserve">Svi </w:t>
      </w:r>
      <w:r w:rsidRPr="00600270">
        <w:rPr>
          <w:rFonts w:cstheme="minorHAnsi"/>
          <w:color w:val="000000" w:themeColor="text1"/>
          <w:sz w:val="20"/>
          <w:szCs w:val="20"/>
          <w:lang w:val="sr-Latn-RS"/>
        </w:rPr>
        <w:t xml:space="preserve">podaci o uslugama socijalne zaštite u mandatu JLS 2015. godine su na osnovu istraživanja </w:t>
      </w:r>
      <w:r w:rsidRPr="00600270">
        <w:rPr>
          <w:rFonts w:cstheme="minorHAnsi"/>
          <w:sz w:val="20"/>
          <w:szCs w:val="20"/>
          <w:lang w:val="sr-Latn-RS"/>
        </w:rPr>
        <w:t xml:space="preserve">Matković G., Stranjaković M. (2016), </w:t>
      </w:r>
      <w:r w:rsidR="00102390">
        <w:fldChar w:fldCharType="begin"/>
      </w:r>
      <w:r w:rsidR="00102390">
        <w:instrText xml:space="preserve"> HYPERLINK "http://socijalnoukljucivanje.gov.rs/wp-content/uploads/2016/12/Mapiranje-usluga-socijalne-zastite.pdf" </w:instrText>
      </w:r>
      <w:r w:rsidR="00102390">
        <w:fldChar w:fldCharType="separate"/>
      </w:r>
      <w:r w:rsidRPr="00600270">
        <w:rPr>
          <w:rFonts w:cstheme="minorHAnsi"/>
          <w:i/>
          <w:color w:val="0000FF"/>
          <w:sz w:val="20"/>
          <w:szCs w:val="20"/>
          <w:u w:val="single"/>
          <w:lang w:val="sr-Latn-RS"/>
        </w:rPr>
        <w:t>Mapiranje usluga socijalne zaštite u nadležnosti JLS</w:t>
      </w:r>
      <w:r w:rsidR="00102390">
        <w:rPr>
          <w:rFonts w:cstheme="minorHAnsi"/>
          <w:i/>
          <w:color w:val="0000FF"/>
          <w:sz w:val="20"/>
          <w:szCs w:val="20"/>
          <w:u w:val="single"/>
          <w:lang w:val="sr-Latn-RS"/>
        </w:rPr>
        <w:fldChar w:fldCharType="end"/>
      </w:r>
      <w:r w:rsidRPr="00600270">
        <w:rPr>
          <w:rFonts w:cstheme="minorHAnsi"/>
          <w:i/>
          <w:color w:val="0000FF"/>
          <w:sz w:val="20"/>
          <w:szCs w:val="20"/>
          <w:u w:val="single"/>
          <w:lang w:val="sr-Latn-RS"/>
        </w:rPr>
        <w:t>.</w:t>
      </w:r>
      <w:r w:rsidRPr="00600270">
        <w:rPr>
          <w:rFonts w:cstheme="minorHAnsi"/>
          <w:iCs/>
          <w:color w:val="000000" w:themeColor="text1"/>
          <w:sz w:val="20"/>
          <w:szCs w:val="20"/>
          <w:lang w:val="sr-Latn-RS"/>
        </w:rPr>
        <w:t xml:space="preserve"> Beograd: </w:t>
      </w:r>
      <w:r w:rsidRPr="00600270">
        <w:rPr>
          <w:rFonts w:eastAsia="Times New Roman" w:cstheme="minorHAnsi"/>
          <w:color w:val="000000" w:themeColor="text1"/>
          <w:sz w:val="20"/>
          <w:szCs w:val="20"/>
          <w:lang w:eastAsia="en-GB"/>
        </w:rPr>
        <w:t xml:space="preserve">Tim za </w:t>
      </w:r>
      <w:proofErr w:type="spellStart"/>
      <w:r w:rsidRPr="00600270">
        <w:rPr>
          <w:rFonts w:eastAsia="Times New Roman" w:cstheme="minorHAnsi"/>
          <w:color w:val="000000" w:themeColor="text1"/>
          <w:sz w:val="20"/>
          <w:szCs w:val="20"/>
          <w:lang w:eastAsia="en-GB"/>
        </w:rPr>
        <w:t>socijalno</w:t>
      </w:r>
      <w:proofErr w:type="spellEnd"/>
      <w:r w:rsidRPr="00600270">
        <w:rPr>
          <w:rFonts w:eastAsia="Times New Roman" w:cstheme="minorHAnsi"/>
          <w:color w:val="000000" w:themeColor="text1"/>
          <w:sz w:val="20"/>
          <w:szCs w:val="20"/>
          <w:lang w:eastAsia="en-GB"/>
        </w:rPr>
        <w:t xml:space="preserve"> </w:t>
      </w:r>
      <w:proofErr w:type="spellStart"/>
      <w:r w:rsidRPr="00600270">
        <w:rPr>
          <w:rFonts w:eastAsia="Times New Roman" w:cstheme="minorHAnsi"/>
          <w:color w:val="000000" w:themeColor="text1"/>
          <w:sz w:val="20"/>
          <w:szCs w:val="20"/>
          <w:lang w:eastAsia="en-GB"/>
        </w:rPr>
        <w:t>uključivanje</w:t>
      </w:r>
      <w:proofErr w:type="spellEnd"/>
      <w:r w:rsidRPr="00600270">
        <w:rPr>
          <w:rFonts w:eastAsia="Times New Roman" w:cstheme="minorHAnsi"/>
          <w:color w:val="000000" w:themeColor="text1"/>
          <w:sz w:val="20"/>
          <w:szCs w:val="20"/>
          <w:lang w:eastAsia="en-GB"/>
        </w:rPr>
        <w:t xml:space="preserve"> </w:t>
      </w:r>
      <w:proofErr w:type="spellStart"/>
      <w:r w:rsidRPr="00600270">
        <w:rPr>
          <w:rFonts w:eastAsia="Times New Roman" w:cstheme="minorHAnsi"/>
          <w:color w:val="000000" w:themeColor="text1"/>
          <w:sz w:val="20"/>
          <w:szCs w:val="20"/>
          <w:lang w:eastAsia="en-GB"/>
        </w:rPr>
        <w:t>i</w:t>
      </w:r>
      <w:proofErr w:type="spellEnd"/>
      <w:r w:rsidRPr="00600270">
        <w:rPr>
          <w:rFonts w:eastAsia="Times New Roman" w:cstheme="minorHAnsi"/>
          <w:color w:val="000000" w:themeColor="text1"/>
          <w:sz w:val="20"/>
          <w:szCs w:val="20"/>
          <w:lang w:eastAsia="en-GB"/>
        </w:rPr>
        <w:t xml:space="preserve"> </w:t>
      </w:r>
      <w:proofErr w:type="spellStart"/>
      <w:r w:rsidRPr="00600270">
        <w:rPr>
          <w:rFonts w:eastAsia="Times New Roman" w:cstheme="minorHAnsi"/>
          <w:color w:val="000000" w:themeColor="text1"/>
          <w:sz w:val="20"/>
          <w:szCs w:val="20"/>
          <w:lang w:eastAsia="en-GB"/>
        </w:rPr>
        <w:t>smanjenje</w:t>
      </w:r>
      <w:proofErr w:type="spellEnd"/>
      <w:r w:rsidRPr="00600270">
        <w:rPr>
          <w:rFonts w:eastAsia="Times New Roman" w:cstheme="minorHAnsi"/>
          <w:color w:val="000000" w:themeColor="text1"/>
          <w:sz w:val="20"/>
          <w:szCs w:val="20"/>
          <w:lang w:eastAsia="en-GB"/>
        </w:rPr>
        <w:t xml:space="preserve"> </w:t>
      </w:r>
      <w:proofErr w:type="spellStart"/>
      <w:r w:rsidRPr="00600270">
        <w:rPr>
          <w:rFonts w:eastAsia="Times New Roman" w:cstheme="minorHAnsi"/>
          <w:color w:val="000000" w:themeColor="text1"/>
          <w:sz w:val="20"/>
          <w:szCs w:val="20"/>
          <w:lang w:eastAsia="en-GB"/>
        </w:rPr>
        <w:t>siromaštva</w:t>
      </w:r>
      <w:proofErr w:type="spellEnd"/>
      <w:r w:rsidRPr="00600270">
        <w:rPr>
          <w:rFonts w:eastAsia="Times New Roman" w:cstheme="minorHAnsi"/>
          <w:color w:val="000000" w:themeColor="text1"/>
          <w:sz w:val="20"/>
          <w:szCs w:val="20"/>
          <w:lang w:eastAsia="en-GB"/>
        </w:rPr>
        <w:t xml:space="preserve"> Vlade </w:t>
      </w:r>
      <w:proofErr w:type="spellStart"/>
      <w:r w:rsidRPr="00600270">
        <w:rPr>
          <w:rFonts w:eastAsia="Times New Roman" w:cstheme="minorHAnsi"/>
          <w:color w:val="000000" w:themeColor="text1"/>
          <w:sz w:val="20"/>
          <w:szCs w:val="20"/>
          <w:lang w:eastAsia="en-GB"/>
        </w:rPr>
        <w:t>Republike</w:t>
      </w:r>
      <w:proofErr w:type="spellEnd"/>
      <w:r w:rsidRPr="00600270">
        <w:rPr>
          <w:rFonts w:eastAsia="Times New Roman" w:cstheme="minorHAnsi"/>
          <w:color w:val="000000" w:themeColor="text1"/>
          <w:sz w:val="20"/>
          <w:szCs w:val="20"/>
          <w:lang w:eastAsia="en-GB"/>
        </w:rPr>
        <w:t xml:space="preserve"> </w:t>
      </w:r>
      <w:proofErr w:type="spellStart"/>
      <w:r w:rsidRPr="00600270">
        <w:rPr>
          <w:rFonts w:eastAsia="Times New Roman" w:cstheme="minorHAnsi"/>
          <w:color w:val="000000" w:themeColor="text1"/>
          <w:sz w:val="20"/>
          <w:szCs w:val="20"/>
          <w:lang w:eastAsia="en-GB"/>
        </w:rPr>
        <w:t>Srbije</w:t>
      </w:r>
      <w:proofErr w:type="spellEnd"/>
      <w:r w:rsidRPr="00600270">
        <w:rPr>
          <w:rFonts w:eastAsia="Times New Roman" w:cstheme="minorHAnsi"/>
          <w:color w:val="000000" w:themeColor="text1"/>
          <w:sz w:val="20"/>
          <w:szCs w:val="20"/>
          <w:lang w:val="sr-Latn-RS" w:eastAsia="en-GB"/>
        </w:rPr>
        <w:t>.</w:t>
      </w:r>
    </w:p>
  </w:footnote>
  <w:footnote w:id="19">
    <w:p w14:paraId="64B8540D" w14:textId="54E0856E" w:rsidR="00E44774" w:rsidRPr="00787330" w:rsidRDefault="00E44774">
      <w:pPr>
        <w:pStyle w:val="FootnoteText"/>
        <w:rPr>
          <w:lang w:val="sr-Latn-RS"/>
        </w:rPr>
      </w:pPr>
      <w:r>
        <w:rPr>
          <w:rStyle w:val="FootnoteReference"/>
        </w:rPr>
        <w:footnoteRef/>
      </w:r>
      <w:r>
        <w:t xml:space="preserve"> </w:t>
      </w:r>
      <w:r w:rsidRPr="00A633D7">
        <w:rPr>
          <w:color w:val="000000" w:themeColor="text1"/>
          <w:sz w:val="20"/>
          <w:szCs w:val="20"/>
          <w:lang w:val="sr-Latn-RS"/>
        </w:rPr>
        <w:t xml:space="preserve">Svi </w:t>
      </w:r>
      <w:r w:rsidRPr="00A633D7">
        <w:rPr>
          <w:color w:val="000000" w:themeColor="text1"/>
          <w:sz w:val="20"/>
          <w:szCs w:val="20"/>
          <w:lang w:val="sr-Latn-RS"/>
        </w:rPr>
        <w:t>podaci o materijalnoj podršci u mandatu JLS su na osnovu istraživanja</w:t>
      </w:r>
      <w:r w:rsidRPr="00A633D7">
        <w:rPr>
          <w:sz w:val="20"/>
          <w:szCs w:val="20"/>
          <w:lang w:val="sr-Latn-RS"/>
        </w:rPr>
        <w:t xml:space="preserve"> </w:t>
      </w:r>
      <w:r w:rsidRPr="00A633D7">
        <w:rPr>
          <w:rFonts w:cs="Times New Roman"/>
          <w:sz w:val="20"/>
          <w:szCs w:val="20"/>
          <w:lang w:val="sr-Latn-RS"/>
        </w:rPr>
        <w:t xml:space="preserve">Matković G., Stranjaković M. (2020), </w:t>
      </w:r>
      <w:r w:rsidR="00102390">
        <w:fldChar w:fldCharType="begin"/>
      </w:r>
      <w:r w:rsidR="00102390">
        <w:instrText xml:space="preserve"> HYPERLINK "http://socijalnoukljucivanje.gov.rs/wp-content/uploads/2020/09/Mapiranje_usluga_socijalne_zastite_i_materijalne_podrske_u_nadleznosti_JLS_u_RS.pdf" </w:instrText>
      </w:r>
      <w:r w:rsidR="00102390">
        <w:fldChar w:fldCharType="separate"/>
      </w:r>
      <w:r w:rsidRPr="00A633D7">
        <w:rPr>
          <w:rStyle w:val="Hyperlink"/>
          <w:rFonts w:cstheme="minorHAnsi"/>
          <w:i/>
          <w:sz w:val="20"/>
          <w:szCs w:val="20"/>
          <w:lang w:val="sr-Latn-RS"/>
        </w:rPr>
        <w:t>Mapiranje usluga socijalne zaštite i materijalne podrške u nadležnosti JLS u Republici Srbiji</w:t>
      </w:r>
      <w:r w:rsidR="00102390">
        <w:rPr>
          <w:rStyle w:val="Hyperlink"/>
          <w:rFonts w:cstheme="minorHAnsi"/>
          <w:i/>
          <w:sz w:val="20"/>
          <w:szCs w:val="20"/>
          <w:lang w:val="sr-Latn-RS"/>
        </w:rPr>
        <w:fldChar w:fldCharType="end"/>
      </w:r>
    </w:p>
  </w:footnote>
  <w:footnote w:id="20">
    <w:p w14:paraId="75CCA9C5" w14:textId="7ADC0D25" w:rsidR="00E44774" w:rsidRPr="009054EB" w:rsidRDefault="00E44774">
      <w:pPr>
        <w:pStyle w:val="FootnoteText"/>
        <w:rPr>
          <w:sz w:val="20"/>
          <w:szCs w:val="20"/>
          <w:lang w:val="sr-Latn-RS"/>
        </w:rPr>
      </w:pPr>
      <w:r w:rsidRPr="00103345">
        <w:rPr>
          <w:rStyle w:val="FootnoteReference"/>
          <w:sz w:val="20"/>
          <w:szCs w:val="20"/>
        </w:rPr>
        <w:footnoteRef/>
      </w:r>
      <w:r w:rsidRPr="00103345">
        <w:rPr>
          <w:sz w:val="20"/>
          <w:szCs w:val="20"/>
        </w:rPr>
        <w:t xml:space="preserve">  U </w:t>
      </w:r>
      <w:proofErr w:type="spellStart"/>
      <w:r w:rsidRPr="00103345">
        <w:rPr>
          <w:sz w:val="20"/>
          <w:szCs w:val="20"/>
        </w:rPr>
        <w:t>skladu</w:t>
      </w:r>
      <w:proofErr w:type="spellEnd"/>
      <w:r w:rsidRPr="00103345">
        <w:rPr>
          <w:sz w:val="20"/>
          <w:szCs w:val="20"/>
        </w:rPr>
        <w:t xml:space="preserve"> za </w:t>
      </w:r>
      <w:proofErr w:type="spellStart"/>
      <w:r w:rsidRPr="00103345">
        <w:rPr>
          <w:sz w:val="20"/>
          <w:szCs w:val="20"/>
        </w:rPr>
        <w:t>zahtevom</w:t>
      </w:r>
      <w:proofErr w:type="spellEnd"/>
      <w:r w:rsidRPr="00103345">
        <w:rPr>
          <w:sz w:val="20"/>
          <w:szCs w:val="20"/>
        </w:rPr>
        <w:t xml:space="preserve"> </w:t>
      </w:r>
      <w:proofErr w:type="spellStart"/>
      <w:r>
        <w:rPr>
          <w:sz w:val="20"/>
          <w:szCs w:val="20"/>
        </w:rPr>
        <w:t>istraživanja</w:t>
      </w:r>
      <w:proofErr w:type="spellEnd"/>
      <w:r>
        <w:rPr>
          <w:sz w:val="20"/>
          <w:szCs w:val="20"/>
        </w:rPr>
        <w:t xml:space="preserve"> </w:t>
      </w:r>
      <w:r w:rsidRPr="00103345">
        <w:rPr>
          <w:sz w:val="20"/>
          <w:szCs w:val="20"/>
        </w:rPr>
        <w:t>e</w:t>
      </w:r>
    </w:p>
  </w:footnote>
  <w:footnote w:id="21">
    <w:p w14:paraId="1D8CE28C" w14:textId="77777777" w:rsidR="00E44774" w:rsidRPr="002753A9" w:rsidRDefault="00E44774" w:rsidP="003C2F8A">
      <w:pPr>
        <w:pStyle w:val="FootnoteText"/>
        <w:rPr>
          <w:sz w:val="20"/>
          <w:szCs w:val="20"/>
          <w:lang w:val="sr-Latn-RS"/>
        </w:rPr>
      </w:pPr>
      <w:r w:rsidRPr="002753A9">
        <w:rPr>
          <w:rStyle w:val="FootnoteReference"/>
          <w:sz w:val="20"/>
          <w:szCs w:val="20"/>
        </w:rPr>
        <w:footnoteRef/>
      </w:r>
      <w:r w:rsidRPr="002753A9">
        <w:rPr>
          <w:sz w:val="20"/>
          <w:szCs w:val="20"/>
        </w:rPr>
        <w:t xml:space="preserve"> </w:t>
      </w:r>
      <w:r w:rsidRPr="002753A9">
        <w:rPr>
          <w:sz w:val="20"/>
          <w:szCs w:val="20"/>
          <w:lang w:val="sr-Latn-RS"/>
        </w:rPr>
        <w:t xml:space="preserve">Penev G. </w:t>
      </w:r>
      <w:r w:rsidRPr="002753A9">
        <w:rPr>
          <w:sz w:val="20"/>
          <w:szCs w:val="20"/>
          <w:lang w:val="sr-Cyrl-RS"/>
        </w:rPr>
        <w:t>(2006)</w:t>
      </w:r>
      <w:r w:rsidRPr="002753A9">
        <w:rPr>
          <w:sz w:val="20"/>
          <w:szCs w:val="20"/>
          <w:lang w:val="sr-Latn-RS"/>
        </w:rPr>
        <w:t>.</w:t>
      </w:r>
      <w:r w:rsidRPr="002753A9">
        <w:rPr>
          <w:sz w:val="20"/>
          <w:szCs w:val="20"/>
          <w:lang w:val="sr-Cyrl-RS"/>
        </w:rPr>
        <w:t xml:space="preserve"> </w:t>
      </w:r>
      <w:hyperlink r:id="rId4" w:history="1">
        <w:r w:rsidRPr="002753A9">
          <w:rPr>
            <w:rStyle w:val="Hyperlink"/>
            <w:sz w:val="20"/>
            <w:szCs w:val="20"/>
            <w:lang w:val="sr-Latn-RS"/>
          </w:rPr>
          <w:t>Samoubistva u Srbiji: i dalje oko evropskog proseka</w:t>
        </w:r>
      </w:hyperlink>
      <w:r w:rsidRPr="002753A9">
        <w:rPr>
          <w:sz w:val="20"/>
          <w:szCs w:val="20"/>
          <w:lang w:val="sr-Latn-RS"/>
        </w:rPr>
        <w:t>. Demografski pregled, 22/2006.</w:t>
      </w:r>
    </w:p>
  </w:footnote>
  <w:footnote w:id="22">
    <w:p w14:paraId="7C974076" w14:textId="77777777" w:rsidR="00E44774" w:rsidRPr="00A745AF" w:rsidRDefault="00E44774" w:rsidP="00B31AF7">
      <w:pPr>
        <w:pStyle w:val="FootnoteText"/>
        <w:rPr>
          <w:sz w:val="20"/>
          <w:szCs w:val="20"/>
          <w:lang w:val="sr-Latn-RS"/>
        </w:rPr>
      </w:pPr>
      <w:r w:rsidRPr="00A745AF">
        <w:rPr>
          <w:rStyle w:val="FootnoteReference"/>
          <w:sz w:val="20"/>
          <w:szCs w:val="20"/>
        </w:rPr>
        <w:footnoteRef/>
      </w:r>
      <w:r w:rsidRPr="00A745AF">
        <w:rPr>
          <w:sz w:val="20"/>
          <w:szCs w:val="20"/>
        </w:rPr>
        <w:t xml:space="preserve"> </w:t>
      </w:r>
      <w:r w:rsidRPr="00A745AF">
        <w:rPr>
          <w:sz w:val="20"/>
          <w:szCs w:val="20"/>
          <w:lang w:val="sr-Latn-RS"/>
        </w:rPr>
        <w:t xml:space="preserve">Detaljnije </w:t>
      </w:r>
      <w:r w:rsidRPr="00A745AF">
        <w:rPr>
          <w:sz w:val="20"/>
          <w:szCs w:val="20"/>
          <w:lang w:val="sr-Latn-RS"/>
        </w:rPr>
        <w:t xml:space="preserve">član 13 </w:t>
      </w:r>
      <w:hyperlink r:id="rId5" w:history="1">
        <w:r w:rsidRPr="00A745AF">
          <w:rPr>
            <w:rStyle w:val="Hyperlink"/>
            <w:sz w:val="20"/>
            <w:szCs w:val="20"/>
            <w:lang w:val="sr-Latn-RS"/>
          </w:rPr>
          <w:t>Zakona o zdravstvenoj zaštiti</w:t>
        </w:r>
      </w:hyperlink>
    </w:p>
  </w:footnote>
  <w:footnote w:id="23">
    <w:p w14:paraId="19110DC6" w14:textId="61834EE7" w:rsidR="00E44774" w:rsidRPr="008B1828" w:rsidRDefault="00E44774">
      <w:pPr>
        <w:pStyle w:val="FootnoteText"/>
        <w:rPr>
          <w:sz w:val="20"/>
          <w:szCs w:val="20"/>
          <w:lang w:val="sr-Latn-RS"/>
        </w:rPr>
      </w:pPr>
      <w:r w:rsidRPr="008B1828">
        <w:rPr>
          <w:rStyle w:val="FootnoteReference"/>
          <w:sz w:val="20"/>
          <w:szCs w:val="20"/>
        </w:rPr>
        <w:footnoteRef/>
      </w:r>
      <w:r w:rsidRPr="008B1828">
        <w:rPr>
          <w:sz w:val="20"/>
          <w:szCs w:val="20"/>
        </w:rPr>
        <w:t xml:space="preserve"> </w:t>
      </w:r>
      <w:hyperlink r:id="rId6" w:history="1">
        <w:r w:rsidRPr="008B1828">
          <w:rPr>
            <w:rStyle w:val="Hyperlink"/>
            <w:sz w:val="20"/>
            <w:szCs w:val="20"/>
          </w:rPr>
          <w:t>https://publikacije.stat.gov.rs/G2020/Pdf/G202013047.pdf</w:t>
        </w:r>
      </w:hyperlink>
      <w:r w:rsidRPr="008B1828">
        <w:rPr>
          <w:sz w:val="20"/>
          <w:szCs w:val="20"/>
        </w:rPr>
        <w:t xml:space="preserve"> </w:t>
      </w:r>
    </w:p>
  </w:footnote>
  <w:footnote w:id="24">
    <w:p w14:paraId="1F857E96" w14:textId="73519CF7" w:rsidR="00E44774" w:rsidRPr="008B1828" w:rsidRDefault="00E44774">
      <w:pPr>
        <w:pStyle w:val="FootnoteText"/>
        <w:rPr>
          <w:sz w:val="20"/>
          <w:szCs w:val="20"/>
          <w:lang w:val="sr-Latn-RS"/>
        </w:rPr>
      </w:pPr>
      <w:r w:rsidRPr="008B1828">
        <w:rPr>
          <w:rStyle w:val="FootnoteReference"/>
          <w:sz w:val="20"/>
          <w:szCs w:val="20"/>
        </w:rPr>
        <w:footnoteRef/>
      </w:r>
      <w:r w:rsidRPr="008B1828">
        <w:rPr>
          <w:sz w:val="20"/>
          <w:szCs w:val="20"/>
        </w:rPr>
        <w:t xml:space="preserve"> https://publikacije.stat.gov.rs/G2019/Pdf/G201914016.pdf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E1B19"/>
    <w:multiLevelType w:val="multilevel"/>
    <w:tmpl w:val="9142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74EF0"/>
    <w:multiLevelType w:val="hybridMultilevel"/>
    <w:tmpl w:val="AFACFCBA"/>
    <w:lvl w:ilvl="0" w:tplc="9B72F5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911A5"/>
    <w:multiLevelType w:val="hybridMultilevel"/>
    <w:tmpl w:val="56B6D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47205"/>
    <w:multiLevelType w:val="multilevel"/>
    <w:tmpl w:val="2DBC076A"/>
    <w:lvl w:ilvl="0">
      <w:start w:val="1"/>
      <w:numFmt w:val="decimal"/>
      <w:lvlText w:val="%1."/>
      <w:lvlJc w:val="left"/>
      <w:pPr>
        <w:ind w:left="720" w:hanging="360"/>
      </w:pPr>
      <w:rPr>
        <w:rFonts w:asciiTheme="minorHAnsi" w:eastAsiaTheme="majorEastAsia" w:hAnsiTheme="minorHAnsi" w:cs="Times New Roman" w:hint="default"/>
      </w:rPr>
    </w:lvl>
    <w:lvl w:ilvl="1">
      <w:start w:val="1"/>
      <w:numFmt w:val="decimal"/>
      <w:isLgl/>
      <w:lvlText w:val="%1.%2."/>
      <w:lvlJc w:val="left"/>
      <w:pPr>
        <w:ind w:left="360" w:hanging="360"/>
      </w:pPr>
      <w:rPr>
        <w:rFonts w:asciiTheme="majorHAnsi" w:hAnsiTheme="majorHAnsi" w:cstheme="majorHAnsi" w:hint="default"/>
        <w:b w:val="0"/>
        <w:sz w:val="28"/>
        <w:szCs w:val="28"/>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4" w15:restartNumberingAfterBreak="0">
    <w:nsid w:val="2DF26210"/>
    <w:multiLevelType w:val="multilevel"/>
    <w:tmpl w:val="95B2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2250F"/>
    <w:multiLevelType w:val="hybridMultilevel"/>
    <w:tmpl w:val="C834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E70C90"/>
    <w:multiLevelType w:val="hybridMultilevel"/>
    <w:tmpl w:val="3EF0D5CC"/>
    <w:lvl w:ilvl="0" w:tplc="E7A67CDA">
      <w:start w:val="20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63C35"/>
    <w:multiLevelType w:val="hybridMultilevel"/>
    <w:tmpl w:val="0828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BC3A11"/>
    <w:multiLevelType w:val="hybridMultilevel"/>
    <w:tmpl w:val="9F7246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73F04B6"/>
    <w:multiLevelType w:val="hybridMultilevel"/>
    <w:tmpl w:val="EE96B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9"/>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8E2"/>
    <w:rsid w:val="00001AF1"/>
    <w:rsid w:val="0001258D"/>
    <w:rsid w:val="00021D67"/>
    <w:rsid w:val="00023F1C"/>
    <w:rsid w:val="000277AD"/>
    <w:rsid w:val="000347E4"/>
    <w:rsid w:val="00045BE3"/>
    <w:rsid w:val="00045E78"/>
    <w:rsid w:val="000472B4"/>
    <w:rsid w:val="000531FB"/>
    <w:rsid w:val="000564B1"/>
    <w:rsid w:val="00065A8C"/>
    <w:rsid w:val="0006788D"/>
    <w:rsid w:val="00071767"/>
    <w:rsid w:val="00076D2D"/>
    <w:rsid w:val="000841D6"/>
    <w:rsid w:val="000853F0"/>
    <w:rsid w:val="00085704"/>
    <w:rsid w:val="00086EEB"/>
    <w:rsid w:val="00087C18"/>
    <w:rsid w:val="00087D10"/>
    <w:rsid w:val="000956DD"/>
    <w:rsid w:val="000A06CC"/>
    <w:rsid w:val="000A0C3E"/>
    <w:rsid w:val="000A1CBD"/>
    <w:rsid w:val="000B0F04"/>
    <w:rsid w:val="000B38EE"/>
    <w:rsid w:val="000B7C1F"/>
    <w:rsid w:val="000C1E3C"/>
    <w:rsid w:val="000C27DA"/>
    <w:rsid w:val="000D2D0F"/>
    <w:rsid w:val="000D6239"/>
    <w:rsid w:val="000D7F6B"/>
    <w:rsid w:val="000E0756"/>
    <w:rsid w:val="000E0999"/>
    <w:rsid w:val="000E3631"/>
    <w:rsid w:val="000F09B4"/>
    <w:rsid w:val="000F1C36"/>
    <w:rsid w:val="000F2688"/>
    <w:rsid w:val="000F47E1"/>
    <w:rsid w:val="00102390"/>
    <w:rsid w:val="00103345"/>
    <w:rsid w:val="001054FE"/>
    <w:rsid w:val="00107330"/>
    <w:rsid w:val="00132246"/>
    <w:rsid w:val="00135EA2"/>
    <w:rsid w:val="00140523"/>
    <w:rsid w:val="00141F51"/>
    <w:rsid w:val="00150E0B"/>
    <w:rsid w:val="00151171"/>
    <w:rsid w:val="00155CA3"/>
    <w:rsid w:val="00160FBA"/>
    <w:rsid w:val="00175206"/>
    <w:rsid w:val="001846F5"/>
    <w:rsid w:val="001877CE"/>
    <w:rsid w:val="001902F1"/>
    <w:rsid w:val="001905CD"/>
    <w:rsid w:val="00190E80"/>
    <w:rsid w:val="0019182A"/>
    <w:rsid w:val="0019603A"/>
    <w:rsid w:val="001A0007"/>
    <w:rsid w:val="001A1B62"/>
    <w:rsid w:val="001A6974"/>
    <w:rsid w:val="001B638B"/>
    <w:rsid w:val="001C1E3E"/>
    <w:rsid w:val="001D1200"/>
    <w:rsid w:val="001D30F5"/>
    <w:rsid w:val="001D3575"/>
    <w:rsid w:val="001D458D"/>
    <w:rsid w:val="001D5696"/>
    <w:rsid w:val="001D7E9D"/>
    <w:rsid w:val="001E235B"/>
    <w:rsid w:val="001E44F8"/>
    <w:rsid w:val="001E4B2B"/>
    <w:rsid w:val="001E5B0F"/>
    <w:rsid w:val="001F1F67"/>
    <w:rsid w:val="001F715C"/>
    <w:rsid w:val="002004DE"/>
    <w:rsid w:val="00202F27"/>
    <w:rsid w:val="00202FCE"/>
    <w:rsid w:val="002071D7"/>
    <w:rsid w:val="00210390"/>
    <w:rsid w:val="00211AD9"/>
    <w:rsid w:val="00213EFD"/>
    <w:rsid w:val="00220061"/>
    <w:rsid w:val="00223819"/>
    <w:rsid w:val="00223B67"/>
    <w:rsid w:val="0022407C"/>
    <w:rsid w:val="002243CB"/>
    <w:rsid w:val="0022736B"/>
    <w:rsid w:val="0024069D"/>
    <w:rsid w:val="00240F8C"/>
    <w:rsid w:val="002425E7"/>
    <w:rsid w:val="00242DEE"/>
    <w:rsid w:val="002500DE"/>
    <w:rsid w:val="00251D53"/>
    <w:rsid w:val="00261A05"/>
    <w:rsid w:val="0026384E"/>
    <w:rsid w:val="002663CF"/>
    <w:rsid w:val="00273546"/>
    <w:rsid w:val="00285B37"/>
    <w:rsid w:val="0028719C"/>
    <w:rsid w:val="002A4BCC"/>
    <w:rsid w:val="002B20EE"/>
    <w:rsid w:val="002B29B6"/>
    <w:rsid w:val="002B2AF5"/>
    <w:rsid w:val="002B57FA"/>
    <w:rsid w:val="002B5BE8"/>
    <w:rsid w:val="002B6C9E"/>
    <w:rsid w:val="002D0034"/>
    <w:rsid w:val="002D14A8"/>
    <w:rsid w:val="002D6D78"/>
    <w:rsid w:val="002E1F7C"/>
    <w:rsid w:val="002E326E"/>
    <w:rsid w:val="002E6B3F"/>
    <w:rsid w:val="002E72FF"/>
    <w:rsid w:val="002F1399"/>
    <w:rsid w:val="002F40D9"/>
    <w:rsid w:val="002F7357"/>
    <w:rsid w:val="002F7F37"/>
    <w:rsid w:val="00301EE3"/>
    <w:rsid w:val="00303A22"/>
    <w:rsid w:val="00313C9F"/>
    <w:rsid w:val="00323FEA"/>
    <w:rsid w:val="0032546D"/>
    <w:rsid w:val="00326317"/>
    <w:rsid w:val="003271E4"/>
    <w:rsid w:val="00330B08"/>
    <w:rsid w:val="003329F3"/>
    <w:rsid w:val="00335C1F"/>
    <w:rsid w:val="00336791"/>
    <w:rsid w:val="003450A7"/>
    <w:rsid w:val="00355EB0"/>
    <w:rsid w:val="00357C7F"/>
    <w:rsid w:val="003623B0"/>
    <w:rsid w:val="0036370C"/>
    <w:rsid w:val="00363A8C"/>
    <w:rsid w:val="003658B8"/>
    <w:rsid w:val="0037195B"/>
    <w:rsid w:val="00373778"/>
    <w:rsid w:val="00380E93"/>
    <w:rsid w:val="003827EB"/>
    <w:rsid w:val="0038737D"/>
    <w:rsid w:val="00391194"/>
    <w:rsid w:val="003A1A74"/>
    <w:rsid w:val="003A1AC3"/>
    <w:rsid w:val="003A43E3"/>
    <w:rsid w:val="003A767F"/>
    <w:rsid w:val="003B7362"/>
    <w:rsid w:val="003B74B9"/>
    <w:rsid w:val="003C0A82"/>
    <w:rsid w:val="003C2F8A"/>
    <w:rsid w:val="003C4109"/>
    <w:rsid w:val="003D15E5"/>
    <w:rsid w:val="003D18A1"/>
    <w:rsid w:val="003D1E79"/>
    <w:rsid w:val="003D63B9"/>
    <w:rsid w:val="003E030C"/>
    <w:rsid w:val="003E0BC3"/>
    <w:rsid w:val="003E2D86"/>
    <w:rsid w:val="003E631D"/>
    <w:rsid w:val="003E7D34"/>
    <w:rsid w:val="003F1E0F"/>
    <w:rsid w:val="00400277"/>
    <w:rsid w:val="00417FA3"/>
    <w:rsid w:val="0042132B"/>
    <w:rsid w:val="00423334"/>
    <w:rsid w:val="00424259"/>
    <w:rsid w:val="00427C83"/>
    <w:rsid w:val="00434656"/>
    <w:rsid w:val="0044328D"/>
    <w:rsid w:val="00443373"/>
    <w:rsid w:val="00444551"/>
    <w:rsid w:val="00445609"/>
    <w:rsid w:val="00446E55"/>
    <w:rsid w:val="00447EAA"/>
    <w:rsid w:val="00450E2B"/>
    <w:rsid w:val="00451A7A"/>
    <w:rsid w:val="0045668F"/>
    <w:rsid w:val="00461511"/>
    <w:rsid w:val="0046352A"/>
    <w:rsid w:val="004659DF"/>
    <w:rsid w:val="00466C15"/>
    <w:rsid w:val="004715BD"/>
    <w:rsid w:val="00473BA5"/>
    <w:rsid w:val="0048287D"/>
    <w:rsid w:val="00485378"/>
    <w:rsid w:val="00486C29"/>
    <w:rsid w:val="00496618"/>
    <w:rsid w:val="004A3916"/>
    <w:rsid w:val="004A3AF0"/>
    <w:rsid w:val="004A44D6"/>
    <w:rsid w:val="004B1247"/>
    <w:rsid w:val="004B6D8B"/>
    <w:rsid w:val="004B725D"/>
    <w:rsid w:val="004C1BE2"/>
    <w:rsid w:val="004C3F54"/>
    <w:rsid w:val="004D2B2C"/>
    <w:rsid w:val="004D58D8"/>
    <w:rsid w:val="004D66F4"/>
    <w:rsid w:val="004E5628"/>
    <w:rsid w:val="004E5C24"/>
    <w:rsid w:val="004F1584"/>
    <w:rsid w:val="00502481"/>
    <w:rsid w:val="00504BCD"/>
    <w:rsid w:val="0050674A"/>
    <w:rsid w:val="005078EB"/>
    <w:rsid w:val="00507CCA"/>
    <w:rsid w:val="0051167B"/>
    <w:rsid w:val="005124BB"/>
    <w:rsid w:val="00512C3D"/>
    <w:rsid w:val="00515170"/>
    <w:rsid w:val="00520A36"/>
    <w:rsid w:val="00521E3C"/>
    <w:rsid w:val="00522A00"/>
    <w:rsid w:val="005258FD"/>
    <w:rsid w:val="00527FCF"/>
    <w:rsid w:val="005311BE"/>
    <w:rsid w:val="00532758"/>
    <w:rsid w:val="00532BEA"/>
    <w:rsid w:val="005351B8"/>
    <w:rsid w:val="00536504"/>
    <w:rsid w:val="005403B7"/>
    <w:rsid w:val="00541424"/>
    <w:rsid w:val="005448E2"/>
    <w:rsid w:val="00552E71"/>
    <w:rsid w:val="00556126"/>
    <w:rsid w:val="00560779"/>
    <w:rsid w:val="00561152"/>
    <w:rsid w:val="0056273E"/>
    <w:rsid w:val="00562B6C"/>
    <w:rsid w:val="00563E47"/>
    <w:rsid w:val="00570643"/>
    <w:rsid w:val="00570E8B"/>
    <w:rsid w:val="00573343"/>
    <w:rsid w:val="00576470"/>
    <w:rsid w:val="00580A61"/>
    <w:rsid w:val="005848AB"/>
    <w:rsid w:val="00585461"/>
    <w:rsid w:val="00586FA0"/>
    <w:rsid w:val="0059440A"/>
    <w:rsid w:val="005951F8"/>
    <w:rsid w:val="005972B0"/>
    <w:rsid w:val="005A03CA"/>
    <w:rsid w:val="005A30AD"/>
    <w:rsid w:val="005B07F0"/>
    <w:rsid w:val="005B114A"/>
    <w:rsid w:val="005B15AB"/>
    <w:rsid w:val="005B16AE"/>
    <w:rsid w:val="005B2431"/>
    <w:rsid w:val="005B38C5"/>
    <w:rsid w:val="005B47A0"/>
    <w:rsid w:val="005B4A7D"/>
    <w:rsid w:val="005B4E5C"/>
    <w:rsid w:val="005B6D45"/>
    <w:rsid w:val="005C1C9E"/>
    <w:rsid w:val="005C54EB"/>
    <w:rsid w:val="005C6115"/>
    <w:rsid w:val="005C7A43"/>
    <w:rsid w:val="005D41C6"/>
    <w:rsid w:val="005E0A68"/>
    <w:rsid w:val="005E4BCE"/>
    <w:rsid w:val="005E4C1F"/>
    <w:rsid w:val="005E4F7C"/>
    <w:rsid w:val="005F02EE"/>
    <w:rsid w:val="005F0B1F"/>
    <w:rsid w:val="005F18C6"/>
    <w:rsid w:val="005F25B8"/>
    <w:rsid w:val="005F4C0C"/>
    <w:rsid w:val="005F695B"/>
    <w:rsid w:val="00601168"/>
    <w:rsid w:val="006034B1"/>
    <w:rsid w:val="006038FD"/>
    <w:rsid w:val="00605CCD"/>
    <w:rsid w:val="00605D80"/>
    <w:rsid w:val="00606394"/>
    <w:rsid w:val="00612CDB"/>
    <w:rsid w:val="006168DD"/>
    <w:rsid w:val="00617739"/>
    <w:rsid w:val="00621ADE"/>
    <w:rsid w:val="00622CDE"/>
    <w:rsid w:val="00624240"/>
    <w:rsid w:val="006243F0"/>
    <w:rsid w:val="00627BDB"/>
    <w:rsid w:val="00631CE5"/>
    <w:rsid w:val="00633801"/>
    <w:rsid w:val="006354D2"/>
    <w:rsid w:val="0063590B"/>
    <w:rsid w:val="00637B95"/>
    <w:rsid w:val="006407B5"/>
    <w:rsid w:val="006427DE"/>
    <w:rsid w:val="00646F4F"/>
    <w:rsid w:val="00650454"/>
    <w:rsid w:val="006531B3"/>
    <w:rsid w:val="00653DE1"/>
    <w:rsid w:val="0066364B"/>
    <w:rsid w:val="0066406E"/>
    <w:rsid w:val="00665B1A"/>
    <w:rsid w:val="00666BB2"/>
    <w:rsid w:val="00671B2A"/>
    <w:rsid w:val="00677A89"/>
    <w:rsid w:val="0068316A"/>
    <w:rsid w:val="00683AA3"/>
    <w:rsid w:val="0068686B"/>
    <w:rsid w:val="00690793"/>
    <w:rsid w:val="00693963"/>
    <w:rsid w:val="006969CB"/>
    <w:rsid w:val="00697995"/>
    <w:rsid w:val="006A0A5D"/>
    <w:rsid w:val="006A2240"/>
    <w:rsid w:val="006A6CE9"/>
    <w:rsid w:val="006A73B9"/>
    <w:rsid w:val="006B1545"/>
    <w:rsid w:val="006B5338"/>
    <w:rsid w:val="006C0BFA"/>
    <w:rsid w:val="006C10E6"/>
    <w:rsid w:val="006C17A6"/>
    <w:rsid w:val="006C25E4"/>
    <w:rsid w:val="006C3050"/>
    <w:rsid w:val="006C6013"/>
    <w:rsid w:val="006D0738"/>
    <w:rsid w:val="006D184D"/>
    <w:rsid w:val="006D3120"/>
    <w:rsid w:val="006D6004"/>
    <w:rsid w:val="006E02A3"/>
    <w:rsid w:val="006E7230"/>
    <w:rsid w:val="006F19D4"/>
    <w:rsid w:val="006F214F"/>
    <w:rsid w:val="006F36D8"/>
    <w:rsid w:val="006F6B6E"/>
    <w:rsid w:val="007001D9"/>
    <w:rsid w:val="007016F2"/>
    <w:rsid w:val="00706B0E"/>
    <w:rsid w:val="00711C3F"/>
    <w:rsid w:val="00714ED9"/>
    <w:rsid w:val="00715B30"/>
    <w:rsid w:val="0072142D"/>
    <w:rsid w:val="007215B1"/>
    <w:rsid w:val="0072475B"/>
    <w:rsid w:val="00725D53"/>
    <w:rsid w:val="007272E0"/>
    <w:rsid w:val="00733277"/>
    <w:rsid w:val="007340DF"/>
    <w:rsid w:val="00734AC3"/>
    <w:rsid w:val="007406AE"/>
    <w:rsid w:val="00741F8A"/>
    <w:rsid w:val="007438FE"/>
    <w:rsid w:val="00745BBD"/>
    <w:rsid w:val="007463FB"/>
    <w:rsid w:val="007477C9"/>
    <w:rsid w:val="0075055D"/>
    <w:rsid w:val="00753E62"/>
    <w:rsid w:val="00764030"/>
    <w:rsid w:val="0076423C"/>
    <w:rsid w:val="00770D6C"/>
    <w:rsid w:val="00774130"/>
    <w:rsid w:val="0077458C"/>
    <w:rsid w:val="00777FFD"/>
    <w:rsid w:val="00780E0B"/>
    <w:rsid w:val="00783517"/>
    <w:rsid w:val="00785160"/>
    <w:rsid w:val="00787330"/>
    <w:rsid w:val="00790F77"/>
    <w:rsid w:val="0079630F"/>
    <w:rsid w:val="007967F0"/>
    <w:rsid w:val="007A41FE"/>
    <w:rsid w:val="007A450B"/>
    <w:rsid w:val="007A4C6C"/>
    <w:rsid w:val="007A5C4F"/>
    <w:rsid w:val="007B0998"/>
    <w:rsid w:val="007C2A38"/>
    <w:rsid w:val="007C55DA"/>
    <w:rsid w:val="007C566A"/>
    <w:rsid w:val="007D0E6D"/>
    <w:rsid w:val="007D2A04"/>
    <w:rsid w:val="007D7C27"/>
    <w:rsid w:val="007E5489"/>
    <w:rsid w:val="007F37A7"/>
    <w:rsid w:val="007F385B"/>
    <w:rsid w:val="007F4BA7"/>
    <w:rsid w:val="007F7784"/>
    <w:rsid w:val="007F799B"/>
    <w:rsid w:val="008014C8"/>
    <w:rsid w:val="00806696"/>
    <w:rsid w:val="00812EA1"/>
    <w:rsid w:val="00813165"/>
    <w:rsid w:val="00815851"/>
    <w:rsid w:val="008165C6"/>
    <w:rsid w:val="00820E42"/>
    <w:rsid w:val="00822760"/>
    <w:rsid w:val="00837395"/>
    <w:rsid w:val="00840A5B"/>
    <w:rsid w:val="00841A40"/>
    <w:rsid w:val="00841A8C"/>
    <w:rsid w:val="0084227F"/>
    <w:rsid w:val="00842BC0"/>
    <w:rsid w:val="0084651C"/>
    <w:rsid w:val="0084745E"/>
    <w:rsid w:val="008633F0"/>
    <w:rsid w:val="0086392D"/>
    <w:rsid w:val="00865CDC"/>
    <w:rsid w:val="00866F73"/>
    <w:rsid w:val="0087519F"/>
    <w:rsid w:val="00876E23"/>
    <w:rsid w:val="00880EC8"/>
    <w:rsid w:val="008824FB"/>
    <w:rsid w:val="0088281E"/>
    <w:rsid w:val="008829F6"/>
    <w:rsid w:val="008900C0"/>
    <w:rsid w:val="00891426"/>
    <w:rsid w:val="008A5189"/>
    <w:rsid w:val="008A7420"/>
    <w:rsid w:val="008B0FAB"/>
    <w:rsid w:val="008B1828"/>
    <w:rsid w:val="008C75EB"/>
    <w:rsid w:val="008D0DA1"/>
    <w:rsid w:val="008D7047"/>
    <w:rsid w:val="008E31BE"/>
    <w:rsid w:val="008F5193"/>
    <w:rsid w:val="009023DD"/>
    <w:rsid w:val="009023EE"/>
    <w:rsid w:val="009054EB"/>
    <w:rsid w:val="0091006B"/>
    <w:rsid w:val="00914C0B"/>
    <w:rsid w:val="00915F1B"/>
    <w:rsid w:val="00916FFC"/>
    <w:rsid w:val="009172FD"/>
    <w:rsid w:val="00920996"/>
    <w:rsid w:val="00920A6D"/>
    <w:rsid w:val="0093233E"/>
    <w:rsid w:val="0093507B"/>
    <w:rsid w:val="00935755"/>
    <w:rsid w:val="00940C80"/>
    <w:rsid w:val="0094202C"/>
    <w:rsid w:val="00942D3A"/>
    <w:rsid w:val="00944906"/>
    <w:rsid w:val="009460F0"/>
    <w:rsid w:val="00951C69"/>
    <w:rsid w:val="00951C77"/>
    <w:rsid w:val="0095695D"/>
    <w:rsid w:val="00973C4E"/>
    <w:rsid w:val="00977E5E"/>
    <w:rsid w:val="0098157F"/>
    <w:rsid w:val="00984F30"/>
    <w:rsid w:val="0098566E"/>
    <w:rsid w:val="0098597E"/>
    <w:rsid w:val="00994EF9"/>
    <w:rsid w:val="00997BA4"/>
    <w:rsid w:val="009A62D0"/>
    <w:rsid w:val="009A6A5E"/>
    <w:rsid w:val="009B0CDF"/>
    <w:rsid w:val="009B0DA1"/>
    <w:rsid w:val="009B15A7"/>
    <w:rsid w:val="009B1771"/>
    <w:rsid w:val="009B3237"/>
    <w:rsid w:val="009B7B1C"/>
    <w:rsid w:val="009B7DFF"/>
    <w:rsid w:val="009C05DE"/>
    <w:rsid w:val="009C12F6"/>
    <w:rsid w:val="009C3F56"/>
    <w:rsid w:val="009C5C74"/>
    <w:rsid w:val="009C6002"/>
    <w:rsid w:val="009D002B"/>
    <w:rsid w:val="009D3ABE"/>
    <w:rsid w:val="009D3FF1"/>
    <w:rsid w:val="009D4452"/>
    <w:rsid w:val="009E3A2F"/>
    <w:rsid w:val="009E4566"/>
    <w:rsid w:val="009E6B17"/>
    <w:rsid w:val="00A03038"/>
    <w:rsid w:val="00A07E68"/>
    <w:rsid w:val="00A144F6"/>
    <w:rsid w:val="00A147F6"/>
    <w:rsid w:val="00A14DD1"/>
    <w:rsid w:val="00A219C2"/>
    <w:rsid w:val="00A36B2E"/>
    <w:rsid w:val="00A4530E"/>
    <w:rsid w:val="00A46B11"/>
    <w:rsid w:val="00A50C75"/>
    <w:rsid w:val="00A50CDA"/>
    <w:rsid w:val="00A567F9"/>
    <w:rsid w:val="00A5791B"/>
    <w:rsid w:val="00A63D75"/>
    <w:rsid w:val="00A669F5"/>
    <w:rsid w:val="00A70EFE"/>
    <w:rsid w:val="00A71FF0"/>
    <w:rsid w:val="00A73648"/>
    <w:rsid w:val="00A8365E"/>
    <w:rsid w:val="00A900ED"/>
    <w:rsid w:val="00A9100C"/>
    <w:rsid w:val="00A92830"/>
    <w:rsid w:val="00A93737"/>
    <w:rsid w:val="00A9516E"/>
    <w:rsid w:val="00A955D6"/>
    <w:rsid w:val="00A95FE6"/>
    <w:rsid w:val="00A96BB4"/>
    <w:rsid w:val="00AA1295"/>
    <w:rsid w:val="00AA1993"/>
    <w:rsid w:val="00AA372E"/>
    <w:rsid w:val="00AA539F"/>
    <w:rsid w:val="00AA63FE"/>
    <w:rsid w:val="00AB22A5"/>
    <w:rsid w:val="00AB2806"/>
    <w:rsid w:val="00AB4B59"/>
    <w:rsid w:val="00AC0A4F"/>
    <w:rsid w:val="00AC3998"/>
    <w:rsid w:val="00AC46FF"/>
    <w:rsid w:val="00AD1B83"/>
    <w:rsid w:val="00AD3BC1"/>
    <w:rsid w:val="00AD4F55"/>
    <w:rsid w:val="00AD6C1E"/>
    <w:rsid w:val="00AE192C"/>
    <w:rsid w:val="00AF1014"/>
    <w:rsid w:val="00AF69AB"/>
    <w:rsid w:val="00AF72C1"/>
    <w:rsid w:val="00B033DF"/>
    <w:rsid w:val="00B045A3"/>
    <w:rsid w:val="00B06B35"/>
    <w:rsid w:val="00B0726C"/>
    <w:rsid w:val="00B10E84"/>
    <w:rsid w:val="00B13214"/>
    <w:rsid w:val="00B15581"/>
    <w:rsid w:val="00B1721C"/>
    <w:rsid w:val="00B20667"/>
    <w:rsid w:val="00B21864"/>
    <w:rsid w:val="00B27BA0"/>
    <w:rsid w:val="00B30564"/>
    <w:rsid w:val="00B31AF7"/>
    <w:rsid w:val="00B3312B"/>
    <w:rsid w:val="00B352B9"/>
    <w:rsid w:val="00B36DA4"/>
    <w:rsid w:val="00B4327C"/>
    <w:rsid w:val="00B44AF7"/>
    <w:rsid w:val="00B51485"/>
    <w:rsid w:val="00B53F4E"/>
    <w:rsid w:val="00B60273"/>
    <w:rsid w:val="00B618AB"/>
    <w:rsid w:val="00B6366F"/>
    <w:rsid w:val="00B66032"/>
    <w:rsid w:val="00B670FE"/>
    <w:rsid w:val="00B70E4E"/>
    <w:rsid w:val="00B720E3"/>
    <w:rsid w:val="00B7309F"/>
    <w:rsid w:val="00B73379"/>
    <w:rsid w:val="00B81E48"/>
    <w:rsid w:val="00B83890"/>
    <w:rsid w:val="00B8566A"/>
    <w:rsid w:val="00B85DD2"/>
    <w:rsid w:val="00B931C3"/>
    <w:rsid w:val="00B95FED"/>
    <w:rsid w:val="00B96B7C"/>
    <w:rsid w:val="00B9766A"/>
    <w:rsid w:val="00BA3F5E"/>
    <w:rsid w:val="00BA7D7E"/>
    <w:rsid w:val="00BB1303"/>
    <w:rsid w:val="00BB1F98"/>
    <w:rsid w:val="00BB3C0E"/>
    <w:rsid w:val="00BB5A32"/>
    <w:rsid w:val="00BB6FC1"/>
    <w:rsid w:val="00BC25D7"/>
    <w:rsid w:val="00BC73F4"/>
    <w:rsid w:val="00BD1686"/>
    <w:rsid w:val="00BD3D15"/>
    <w:rsid w:val="00BE18F3"/>
    <w:rsid w:val="00BE6187"/>
    <w:rsid w:val="00BE672A"/>
    <w:rsid w:val="00BF2685"/>
    <w:rsid w:val="00BF7BB6"/>
    <w:rsid w:val="00C02E89"/>
    <w:rsid w:val="00C0354B"/>
    <w:rsid w:val="00C04D8D"/>
    <w:rsid w:val="00C11EB5"/>
    <w:rsid w:val="00C166EA"/>
    <w:rsid w:val="00C2324C"/>
    <w:rsid w:val="00C23571"/>
    <w:rsid w:val="00C23AAD"/>
    <w:rsid w:val="00C25BF8"/>
    <w:rsid w:val="00C2741D"/>
    <w:rsid w:val="00C27B8C"/>
    <w:rsid w:val="00C326EA"/>
    <w:rsid w:val="00C404DD"/>
    <w:rsid w:val="00C41F83"/>
    <w:rsid w:val="00C47F8C"/>
    <w:rsid w:val="00C5491D"/>
    <w:rsid w:val="00C631C8"/>
    <w:rsid w:val="00C644FE"/>
    <w:rsid w:val="00C64CF3"/>
    <w:rsid w:val="00C65B61"/>
    <w:rsid w:val="00C71D98"/>
    <w:rsid w:val="00C7243C"/>
    <w:rsid w:val="00C73CFE"/>
    <w:rsid w:val="00C7727A"/>
    <w:rsid w:val="00C77929"/>
    <w:rsid w:val="00C8228A"/>
    <w:rsid w:val="00C837E5"/>
    <w:rsid w:val="00C90ADE"/>
    <w:rsid w:val="00C943DA"/>
    <w:rsid w:val="00CB1F20"/>
    <w:rsid w:val="00CB2528"/>
    <w:rsid w:val="00CB4BD6"/>
    <w:rsid w:val="00CB6C43"/>
    <w:rsid w:val="00CB74E5"/>
    <w:rsid w:val="00CC02E4"/>
    <w:rsid w:val="00CC13FC"/>
    <w:rsid w:val="00CC1B18"/>
    <w:rsid w:val="00CC1F39"/>
    <w:rsid w:val="00CC22D0"/>
    <w:rsid w:val="00CD6EAD"/>
    <w:rsid w:val="00CE1A46"/>
    <w:rsid w:val="00CE461E"/>
    <w:rsid w:val="00CF1C5C"/>
    <w:rsid w:val="00CF7DF0"/>
    <w:rsid w:val="00D0021E"/>
    <w:rsid w:val="00D03827"/>
    <w:rsid w:val="00D046F4"/>
    <w:rsid w:val="00D050CB"/>
    <w:rsid w:val="00D054B4"/>
    <w:rsid w:val="00D11B1C"/>
    <w:rsid w:val="00D13226"/>
    <w:rsid w:val="00D147BA"/>
    <w:rsid w:val="00D170CC"/>
    <w:rsid w:val="00D21933"/>
    <w:rsid w:val="00D2296C"/>
    <w:rsid w:val="00D24DD6"/>
    <w:rsid w:val="00D30130"/>
    <w:rsid w:val="00D34F85"/>
    <w:rsid w:val="00D449FF"/>
    <w:rsid w:val="00D44A2A"/>
    <w:rsid w:val="00D44CAF"/>
    <w:rsid w:val="00D512D6"/>
    <w:rsid w:val="00D546B0"/>
    <w:rsid w:val="00D61597"/>
    <w:rsid w:val="00D65C76"/>
    <w:rsid w:val="00D66EBA"/>
    <w:rsid w:val="00D7105D"/>
    <w:rsid w:val="00D710DE"/>
    <w:rsid w:val="00D76240"/>
    <w:rsid w:val="00D76BE1"/>
    <w:rsid w:val="00D80431"/>
    <w:rsid w:val="00D82100"/>
    <w:rsid w:val="00D83F1D"/>
    <w:rsid w:val="00D848D4"/>
    <w:rsid w:val="00D84B65"/>
    <w:rsid w:val="00D85F5F"/>
    <w:rsid w:val="00D8615D"/>
    <w:rsid w:val="00D9097D"/>
    <w:rsid w:val="00D91BDC"/>
    <w:rsid w:val="00D9414A"/>
    <w:rsid w:val="00D94FAA"/>
    <w:rsid w:val="00D96D75"/>
    <w:rsid w:val="00D96E60"/>
    <w:rsid w:val="00DA1962"/>
    <w:rsid w:val="00DA47A6"/>
    <w:rsid w:val="00DA5DC2"/>
    <w:rsid w:val="00DA752F"/>
    <w:rsid w:val="00DA7622"/>
    <w:rsid w:val="00DB1413"/>
    <w:rsid w:val="00DB5198"/>
    <w:rsid w:val="00DB62AC"/>
    <w:rsid w:val="00DB7187"/>
    <w:rsid w:val="00DC39A5"/>
    <w:rsid w:val="00DC7850"/>
    <w:rsid w:val="00DD1B08"/>
    <w:rsid w:val="00DD1EDD"/>
    <w:rsid w:val="00DF75B7"/>
    <w:rsid w:val="00E0712A"/>
    <w:rsid w:val="00E16FC8"/>
    <w:rsid w:val="00E20FB4"/>
    <w:rsid w:val="00E267FB"/>
    <w:rsid w:val="00E33C1C"/>
    <w:rsid w:val="00E33F4B"/>
    <w:rsid w:val="00E44774"/>
    <w:rsid w:val="00E44951"/>
    <w:rsid w:val="00E4537B"/>
    <w:rsid w:val="00E5112C"/>
    <w:rsid w:val="00E53B4C"/>
    <w:rsid w:val="00E54311"/>
    <w:rsid w:val="00E565C2"/>
    <w:rsid w:val="00E6093B"/>
    <w:rsid w:val="00E642E7"/>
    <w:rsid w:val="00E64877"/>
    <w:rsid w:val="00E666BD"/>
    <w:rsid w:val="00E70F4B"/>
    <w:rsid w:val="00E72418"/>
    <w:rsid w:val="00E73FF0"/>
    <w:rsid w:val="00E7414B"/>
    <w:rsid w:val="00E8003A"/>
    <w:rsid w:val="00E81F33"/>
    <w:rsid w:val="00E87663"/>
    <w:rsid w:val="00E92B69"/>
    <w:rsid w:val="00E9460C"/>
    <w:rsid w:val="00E95B54"/>
    <w:rsid w:val="00E97872"/>
    <w:rsid w:val="00EA2593"/>
    <w:rsid w:val="00EA4C86"/>
    <w:rsid w:val="00EA5B69"/>
    <w:rsid w:val="00EA665E"/>
    <w:rsid w:val="00EB18B0"/>
    <w:rsid w:val="00EB1ADD"/>
    <w:rsid w:val="00EB1B2E"/>
    <w:rsid w:val="00EB6831"/>
    <w:rsid w:val="00EC3B2C"/>
    <w:rsid w:val="00EC5CFF"/>
    <w:rsid w:val="00ED26B8"/>
    <w:rsid w:val="00EE0EBD"/>
    <w:rsid w:val="00EE10CE"/>
    <w:rsid w:val="00EE3149"/>
    <w:rsid w:val="00EE6FA4"/>
    <w:rsid w:val="00EF0B80"/>
    <w:rsid w:val="00EF5498"/>
    <w:rsid w:val="00EF63FF"/>
    <w:rsid w:val="00F02AAD"/>
    <w:rsid w:val="00F16F82"/>
    <w:rsid w:val="00F1712C"/>
    <w:rsid w:val="00F23804"/>
    <w:rsid w:val="00F27276"/>
    <w:rsid w:val="00F354FD"/>
    <w:rsid w:val="00F36C8E"/>
    <w:rsid w:val="00F42C3D"/>
    <w:rsid w:val="00F43493"/>
    <w:rsid w:val="00F454D6"/>
    <w:rsid w:val="00F46EE3"/>
    <w:rsid w:val="00F475D9"/>
    <w:rsid w:val="00F516B7"/>
    <w:rsid w:val="00F5183F"/>
    <w:rsid w:val="00F51EEE"/>
    <w:rsid w:val="00F52FF8"/>
    <w:rsid w:val="00F567C0"/>
    <w:rsid w:val="00F56C80"/>
    <w:rsid w:val="00F60DAC"/>
    <w:rsid w:val="00F655D0"/>
    <w:rsid w:val="00F6619A"/>
    <w:rsid w:val="00F67592"/>
    <w:rsid w:val="00F72E48"/>
    <w:rsid w:val="00F742CB"/>
    <w:rsid w:val="00F83472"/>
    <w:rsid w:val="00F847E3"/>
    <w:rsid w:val="00F86F92"/>
    <w:rsid w:val="00F910D8"/>
    <w:rsid w:val="00F9544C"/>
    <w:rsid w:val="00F958B7"/>
    <w:rsid w:val="00FA3AC0"/>
    <w:rsid w:val="00FA4869"/>
    <w:rsid w:val="00FB0646"/>
    <w:rsid w:val="00FB2204"/>
    <w:rsid w:val="00FB3AC3"/>
    <w:rsid w:val="00FB740D"/>
    <w:rsid w:val="00FB7805"/>
    <w:rsid w:val="00FB7BCF"/>
    <w:rsid w:val="00FC3A9C"/>
    <w:rsid w:val="00FC5229"/>
    <w:rsid w:val="00FC6821"/>
    <w:rsid w:val="00FC6D80"/>
    <w:rsid w:val="00FD0CDB"/>
    <w:rsid w:val="00FD3854"/>
    <w:rsid w:val="00FE0370"/>
    <w:rsid w:val="00FE2454"/>
    <w:rsid w:val="00FE4739"/>
    <w:rsid w:val="00FF16A9"/>
    <w:rsid w:val="00FF30CB"/>
    <w:rsid w:val="00FF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01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00277"/>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F02EE"/>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link w:val="Heading2Char"/>
    <w:uiPriority w:val="9"/>
    <w:qFormat/>
    <w:rsid w:val="001F715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OOTNOTES,fn,Footnote Text Char1,Footnote Text Char Char,Footnote Text Char1 Char Char,Footnote Text Char Char Char Char,Footnote Text Char Char1,ADB,footnote text Char,fn Char,ADB Char Char,ft Char,ft,Fußnote,f"/>
    <w:basedOn w:val="Normal"/>
    <w:link w:val="FootnoteTextChar"/>
    <w:uiPriority w:val="99"/>
    <w:unhideWhenUsed/>
    <w:qFormat/>
    <w:rsid w:val="008F5193"/>
    <w:rPr>
      <w:rFonts w:asciiTheme="minorHAnsi" w:eastAsiaTheme="minorHAnsi" w:hAnsiTheme="minorHAnsi" w:cstheme="minorBidi"/>
      <w:lang w:eastAsia="en-US"/>
    </w:rPr>
  </w:style>
  <w:style w:type="character" w:customStyle="1" w:styleId="FootnoteTextChar">
    <w:name w:val="Footnote Text Char"/>
    <w:aliases w:val="single space Char,footnote text Char1,FOOTNOTES Char,fn Char1,Footnote Text Char1 Char,Footnote Text Char Char Char,Footnote Text Char1 Char Char Char,Footnote Text Char Char Char Char Char,Footnote Text Char Char1 Char,ADB Char"/>
    <w:basedOn w:val="DefaultParagraphFont"/>
    <w:link w:val="FootnoteText"/>
    <w:uiPriority w:val="99"/>
    <w:rsid w:val="008F5193"/>
  </w:style>
  <w:style w:type="character" w:styleId="FootnoteReference">
    <w:name w:val="footnote reference"/>
    <w:aliases w:val="BVI fnr,Footnotes refss,ftref,16 Point,Superscript 6 Point,Footnote Reference Number,nota pié di pagina,Times 10 Point,Exposant 3 Point,Footnote symbol,Footnote reference number,EN Footnote Reference,note TESI,Ref, Exposant 3 Point"/>
    <w:basedOn w:val="DefaultParagraphFont"/>
    <w:link w:val="BVIfnrChar"/>
    <w:uiPriority w:val="99"/>
    <w:unhideWhenUsed/>
    <w:qFormat/>
    <w:rsid w:val="008F5193"/>
    <w:rPr>
      <w:vertAlign w:val="superscript"/>
    </w:rPr>
  </w:style>
  <w:style w:type="character" w:styleId="Hyperlink">
    <w:name w:val="Hyperlink"/>
    <w:basedOn w:val="DefaultParagraphFont"/>
    <w:uiPriority w:val="99"/>
    <w:unhideWhenUsed/>
    <w:rsid w:val="005951F8"/>
    <w:rPr>
      <w:color w:val="0000FF"/>
      <w:u w:val="single"/>
    </w:rPr>
  </w:style>
  <w:style w:type="paragraph" w:styleId="Header">
    <w:name w:val="header"/>
    <w:basedOn w:val="Normal"/>
    <w:link w:val="HeaderChar"/>
    <w:uiPriority w:val="99"/>
    <w:unhideWhenUsed/>
    <w:rsid w:val="001E44F8"/>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1E44F8"/>
  </w:style>
  <w:style w:type="paragraph" w:styleId="Footer">
    <w:name w:val="footer"/>
    <w:basedOn w:val="Normal"/>
    <w:link w:val="FooterChar"/>
    <w:uiPriority w:val="99"/>
    <w:unhideWhenUsed/>
    <w:rsid w:val="001E44F8"/>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1E44F8"/>
  </w:style>
  <w:style w:type="character" w:customStyle="1" w:styleId="apple-converted-space">
    <w:name w:val="apple-converted-space"/>
    <w:basedOn w:val="DefaultParagraphFont"/>
    <w:rsid w:val="007C55DA"/>
  </w:style>
  <w:style w:type="character" w:styleId="FollowedHyperlink">
    <w:name w:val="FollowedHyperlink"/>
    <w:basedOn w:val="DefaultParagraphFont"/>
    <w:uiPriority w:val="99"/>
    <w:semiHidden/>
    <w:unhideWhenUsed/>
    <w:rsid w:val="00EE0EBD"/>
    <w:rPr>
      <w:color w:val="954F72" w:themeColor="followedHyperlink"/>
      <w:u w:val="single"/>
    </w:rPr>
  </w:style>
  <w:style w:type="paragraph" w:styleId="ListParagraph">
    <w:name w:val="List Paragraph"/>
    <w:aliases w:val="List Paragraph1,List (Mannvit),Numbered List Paragraph,References,Numbered Paragraph,Main numbered paragraph,List_Paragraph,Multilevel para_II,Bullets,123 List Paragraph,List Paragraph nowy,Liste 1,Bullet paras,Citation List,Bullet1"/>
    <w:basedOn w:val="Normal"/>
    <w:link w:val="ListParagraphChar"/>
    <w:uiPriority w:val="34"/>
    <w:qFormat/>
    <w:rsid w:val="00C8228A"/>
    <w:pPr>
      <w:ind w:left="720"/>
      <w:contextualSpacing/>
    </w:pPr>
    <w:rPr>
      <w:rFonts w:asciiTheme="minorHAnsi" w:eastAsiaTheme="minorHAnsi" w:hAnsiTheme="minorHAnsi" w:cstheme="minorBidi"/>
      <w:lang w:eastAsia="en-US"/>
    </w:rPr>
  </w:style>
  <w:style w:type="character" w:customStyle="1" w:styleId="Heading1Char">
    <w:name w:val="Heading 1 Char"/>
    <w:basedOn w:val="DefaultParagraphFont"/>
    <w:link w:val="Heading1"/>
    <w:uiPriority w:val="9"/>
    <w:rsid w:val="005F02EE"/>
    <w:rPr>
      <w:rFonts w:asciiTheme="majorHAnsi" w:eastAsiaTheme="majorEastAsia" w:hAnsiTheme="majorHAnsi" w:cstheme="majorBidi"/>
      <w:color w:val="2E74B5" w:themeColor="accent1" w:themeShade="BF"/>
      <w:sz w:val="32"/>
      <w:szCs w:val="32"/>
    </w:rPr>
  </w:style>
  <w:style w:type="character" w:customStyle="1" w:styleId="Documenttitle">
    <w:name w:val="Document title"/>
    <w:uiPriority w:val="1"/>
    <w:qFormat/>
    <w:rsid w:val="005F02EE"/>
  </w:style>
  <w:style w:type="character" w:customStyle="1" w:styleId="ListParagraphChar">
    <w:name w:val="List Paragraph Char"/>
    <w:aliases w:val="List Paragraph1 Char,List (Mannvit) Char,Numbered List Paragraph Char,References Char,Numbered Paragraph Char,Main numbered paragraph Char,List_Paragraph Char,Multilevel para_II Char,Bullets Char,123 List Paragraph Char,Liste 1 Char"/>
    <w:link w:val="ListParagraph"/>
    <w:uiPriority w:val="34"/>
    <w:rsid w:val="005F02EE"/>
  </w:style>
  <w:style w:type="character" w:styleId="Strong">
    <w:name w:val="Strong"/>
    <w:basedOn w:val="DefaultParagraphFont"/>
    <w:uiPriority w:val="22"/>
    <w:qFormat/>
    <w:rsid w:val="005B38C5"/>
    <w:rPr>
      <w:b/>
      <w:bCs/>
    </w:rPr>
  </w:style>
  <w:style w:type="table" w:styleId="TableGrid">
    <w:name w:val="Table Grid"/>
    <w:basedOn w:val="TableNormal"/>
    <w:uiPriority w:val="39"/>
    <w:rsid w:val="00CC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2C3D"/>
    <w:pPr>
      <w:spacing w:before="100" w:beforeAutospacing="1" w:after="100" w:afterAutospacing="1"/>
    </w:pPr>
    <w:rPr>
      <w:rFonts w:eastAsiaTheme="minorHAnsi"/>
      <w:lang w:eastAsia="en-US"/>
    </w:rPr>
  </w:style>
  <w:style w:type="paragraph" w:customStyle="1" w:styleId="Default">
    <w:name w:val="Default"/>
    <w:rsid w:val="00624240"/>
    <w:pPr>
      <w:autoSpaceDE w:val="0"/>
      <w:autoSpaceDN w:val="0"/>
      <w:adjustRightInd w:val="0"/>
    </w:pPr>
    <w:rPr>
      <w:rFonts w:ascii="Times New Roman" w:hAnsi="Times New Roman" w:cs="Times New Roman"/>
      <w:color w:val="000000"/>
    </w:rPr>
  </w:style>
  <w:style w:type="character" w:customStyle="1" w:styleId="m4098323483560972057apple-converted-space">
    <w:name w:val="m_4098323483560972057apple-converted-space"/>
    <w:basedOn w:val="DefaultParagraphFont"/>
    <w:rsid w:val="00F23804"/>
  </w:style>
  <w:style w:type="character" w:styleId="UnresolvedMention">
    <w:name w:val="Unresolved Mention"/>
    <w:basedOn w:val="DefaultParagraphFont"/>
    <w:uiPriority w:val="99"/>
    <w:rsid w:val="00522A00"/>
    <w:rPr>
      <w:color w:val="605E5C"/>
      <w:shd w:val="clear" w:color="auto" w:fill="E1DFDD"/>
    </w:rPr>
  </w:style>
  <w:style w:type="character" w:styleId="PageNumber">
    <w:name w:val="page number"/>
    <w:basedOn w:val="DefaultParagraphFont"/>
    <w:uiPriority w:val="99"/>
    <w:semiHidden/>
    <w:unhideWhenUsed/>
    <w:rsid w:val="001D458D"/>
  </w:style>
  <w:style w:type="character" w:styleId="PlaceholderText">
    <w:name w:val="Placeholder Text"/>
    <w:basedOn w:val="DefaultParagraphFont"/>
    <w:uiPriority w:val="99"/>
    <w:semiHidden/>
    <w:rsid w:val="00400277"/>
    <w:rPr>
      <w:color w:val="808080"/>
    </w:r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w:basedOn w:val="Normal"/>
    <w:link w:val="FootnoteReference"/>
    <w:uiPriority w:val="99"/>
    <w:rsid w:val="002243CB"/>
    <w:pPr>
      <w:spacing w:after="160" w:line="240" w:lineRule="exact"/>
    </w:pPr>
    <w:rPr>
      <w:rFonts w:asciiTheme="minorHAnsi" w:eastAsiaTheme="minorHAnsi" w:hAnsiTheme="minorHAnsi" w:cstheme="minorBidi"/>
      <w:vertAlign w:val="superscript"/>
      <w:lang w:eastAsia="en-US"/>
    </w:rPr>
  </w:style>
  <w:style w:type="character" w:customStyle="1" w:styleId="Heading2Char">
    <w:name w:val="Heading 2 Char"/>
    <w:basedOn w:val="DefaultParagraphFont"/>
    <w:link w:val="Heading2"/>
    <w:uiPriority w:val="9"/>
    <w:rsid w:val="001F715C"/>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146">
      <w:bodyDiv w:val="1"/>
      <w:marLeft w:val="0"/>
      <w:marRight w:val="0"/>
      <w:marTop w:val="0"/>
      <w:marBottom w:val="0"/>
      <w:divBdr>
        <w:top w:val="none" w:sz="0" w:space="0" w:color="auto"/>
        <w:left w:val="none" w:sz="0" w:space="0" w:color="auto"/>
        <w:bottom w:val="none" w:sz="0" w:space="0" w:color="auto"/>
        <w:right w:val="none" w:sz="0" w:space="0" w:color="auto"/>
      </w:divBdr>
    </w:div>
    <w:div w:id="46924372">
      <w:bodyDiv w:val="1"/>
      <w:marLeft w:val="0"/>
      <w:marRight w:val="0"/>
      <w:marTop w:val="0"/>
      <w:marBottom w:val="0"/>
      <w:divBdr>
        <w:top w:val="none" w:sz="0" w:space="0" w:color="auto"/>
        <w:left w:val="none" w:sz="0" w:space="0" w:color="auto"/>
        <w:bottom w:val="none" w:sz="0" w:space="0" w:color="auto"/>
        <w:right w:val="none" w:sz="0" w:space="0" w:color="auto"/>
      </w:divBdr>
    </w:div>
    <w:div w:id="50857033">
      <w:bodyDiv w:val="1"/>
      <w:marLeft w:val="0"/>
      <w:marRight w:val="0"/>
      <w:marTop w:val="0"/>
      <w:marBottom w:val="0"/>
      <w:divBdr>
        <w:top w:val="none" w:sz="0" w:space="0" w:color="auto"/>
        <w:left w:val="none" w:sz="0" w:space="0" w:color="auto"/>
        <w:bottom w:val="none" w:sz="0" w:space="0" w:color="auto"/>
        <w:right w:val="none" w:sz="0" w:space="0" w:color="auto"/>
      </w:divBdr>
    </w:div>
    <w:div w:id="84225702">
      <w:bodyDiv w:val="1"/>
      <w:marLeft w:val="0"/>
      <w:marRight w:val="0"/>
      <w:marTop w:val="0"/>
      <w:marBottom w:val="0"/>
      <w:divBdr>
        <w:top w:val="none" w:sz="0" w:space="0" w:color="auto"/>
        <w:left w:val="none" w:sz="0" w:space="0" w:color="auto"/>
        <w:bottom w:val="none" w:sz="0" w:space="0" w:color="auto"/>
        <w:right w:val="none" w:sz="0" w:space="0" w:color="auto"/>
      </w:divBdr>
    </w:div>
    <w:div w:id="163209450">
      <w:bodyDiv w:val="1"/>
      <w:marLeft w:val="0"/>
      <w:marRight w:val="0"/>
      <w:marTop w:val="0"/>
      <w:marBottom w:val="0"/>
      <w:divBdr>
        <w:top w:val="none" w:sz="0" w:space="0" w:color="auto"/>
        <w:left w:val="none" w:sz="0" w:space="0" w:color="auto"/>
        <w:bottom w:val="none" w:sz="0" w:space="0" w:color="auto"/>
        <w:right w:val="none" w:sz="0" w:space="0" w:color="auto"/>
      </w:divBdr>
    </w:div>
    <w:div w:id="169492396">
      <w:bodyDiv w:val="1"/>
      <w:marLeft w:val="0"/>
      <w:marRight w:val="0"/>
      <w:marTop w:val="0"/>
      <w:marBottom w:val="0"/>
      <w:divBdr>
        <w:top w:val="none" w:sz="0" w:space="0" w:color="auto"/>
        <w:left w:val="none" w:sz="0" w:space="0" w:color="auto"/>
        <w:bottom w:val="none" w:sz="0" w:space="0" w:color="auto"/>
        <w:right w:val="none" w:sz="0" w:space="0" w:color="auto"/>
      </w:divBdr>
      <w:divsChild>
        <w:div w:id="1407679133">
          <w:marLeft w:val="0"/>
          <w:marRight w:val="0"/>
          <w:marTop w:val="0"/>
          <w:marBottom w:val="0"/>
          <w:divBdr>
            <w:top w:val="none" w:sz="0" w:space="0" w:color="auto"/>
            <w:left w:val="none" w:sz="0" w:space="0" w:color="auto"/>
            <w:bottom w:val="none" w:sz="0" w:space="0" w:color="auto"/>
            <w:right w:val="none" w:sz="0" w:space="0" w:color="auto"/>
          </w:divBdr>
        </w:div>
      </w:divsChild>
    </w:div>
    <w:div w:id="222328588">
      <w:bodyDiv w:val="1"/>
      <w:marLeft w:val="0"/>
      <w:marRight w:val="0"/>
      <w:marTop w:val="0"/>
      <w:marBottom w:val="0"/>
      <w:divBdr>
        <w:top w:val="none" w:sz="0" w:space="0" w:color="auto"/>
        <w:left w:val="none" w:sz="0" w:space="0" w:color="auto"/>
        <w:bottom w:val="none" w:sz="0" w:space="0" w:color="auto"/>
        <w:right w:val="none" w:sz="0" w:space="0" w:color="auto"/>
      </w:divBdr>
    </w:div>
    <w:div w:id="231084139">
      <w:bodyDiv w:val="1"/>
      <w:marLeft w:val="0"/>
      <w:marRight w:val="0"/>
      <w:marTop w:val="0"/>
      <w:marBottom w:val="0"/>
      <w:divBdr>
        <w:top w:val="none" w:sz="0" w:space="0" w:color="auto"/>
        <w:left w:val="none" w:sz="0" w:space="0" w:color="auto"/>
        <w:bottom w:val="none" w:sz="0" w:space="0" w:color="auto"/>
        <w:right w:val="none" w:sz="0" w:space="0" w:color="auto"/>
      </w:divBdr>
    </w:div>
    <w:div w:id="331685780">
      <w:bodyDiv w:val="1"/>
      <w:marLeft w:val="0"/>
      <w:marRight w:val="0"/>
      <w:marTop w:val="0"/>
      <w:marBottom w:val="0"/>
      <w:divBdr>
        <w:top w:val="none" w:sz="0" w:space="0" w:color="auto"/>
        <w:left w:val="none" w:sz="0" w:space="0" w:color="auto"/>
        <w:bottom w:val="none" w:sz="0" w:space="0" w:color="auto"/>
        <w:right w:val="none" w:sz="0" w:space="0" w:color="auto"/>
      </w:divBdr>
    </w:div>
    <w:div w:id="385492556">
      <w:bodyDiv w:val="1"/>
      <w:marLeft w:val="0"/>
      <w:marRight w:val="0"/>
      <w:marTop w:val="0"/>
      <w:marBottom w:val="0"/>
      <w:divBdr>
        <w:top w:val="none" w:sz="0" w:space="0" w:color="auto"/>
        <w:left w:val="none" w:sz="0" w:space="0" w:color="auto"/>
        <w:bottom w:val="none" w:sz="0" w:space="0" w:color="auto"/>
        <w:right w:val="none" w:sz="0" w:space="0" w:color="auto"/>
      </w:divBdr>
    </w:div>
    <w:div w:id="400760530">
      <w:bodyDiv w:val="1"/>
      <w:marLeft w:val="0"/>
      <w:marRight w:val="0"/>
      <w:marTop w:val="0"/>
      <w:marBottom w:val="0"/>
      <w:divBdr>
        <w:top w:val="none" w:sz="0" w:space="0" w:color="auto"/>
        <w:left w:val="none" w:sz="0" w:space="0" w:color="auto"/>
        <w:bottom w:val="none" w:sz="0" w:space="0" w:color="auto"/>
        <w:right w:val="none" w:sz="0" w:space="0" w:color="auto"/>
      </w:divBdr>
    </w:div>
    <w:div w:id="492599094">
      <w:bodyDiv w:val="1"/>
      <w:marLeft w:val="0"/>
      <w:marRight w:val="0"/>
      <w:marTop w:val="0"/>
      <w:marBottom w:val="0"/>
      <w:divBdr>
        <w:top w:val="none" w:sz="0" w:space="0" w:color="auto"/>
        <w:left w:val="none" w:sz="0" w:space="0" w:color="auto"/>
        <w:bottom w:val="none" w:sz="0" w:space="0" w:color="auto"/>
        <w:right w:val="none" w:sz="0" w:space="0" w:color="auto"/>
      </w:divBdr>
    </w:div>
    <w:div w:id="525212098">
      <w:bodyDiv w:val="1"/>
      <w:marLeft w:val="0"/>
      <w:marRight w:val="0"/>
      <w:marTop w:val="0"/>
      <w:marBottom w:val="0"/>
      <w:divBdr>
        <w:top w:val="none" w:sz="0" w:space="0" w:color="auto"/>
        <w:left w:val="none" w:sz="0" w:space="0" w:color="auto"/>
        <w:bottom w:val="none" w:sz="0" w:space="0" w:color="auto"/>
        <w:right w:val="none" w:sz="0" w:space="0" w:color="auto"/>
      </w:divBdr>
    </w:div>
    <w:div w:id="605816100">
      <w:bodyDiv w:val="1"/>
      <w:marLeft w:val="0"/>
      <w:marRight w:val="0"/>
      <w:marTop w:val="0"/>
      <w:marBottom w:val="0"/>
      <w:divBdr>
        <w:top w:val="none" w:sz="0" w:space="0" w:color="auto"/>
        <w:left w:val="none" w:sz="0" w:space="0" w:color="auto"/>
        <w:bottom w:val="none" w:sz="0" w:space="0" w:color="auto"/>
        <w:right w:val="none" w:sz="0" w:space="0" w:color="auto"/>
      </w:divBdr>
    </w:div>
    <w:div w:id="634917022">
      <w:bodyDiv w:val="1"/>
      <w:marLeft w:val="0"/>
      <w:marRight w:val="0"/>
      <w:marTop w:val="0"/>
      <w:marBottom w:val="0"/>
      <w:divBdr>
        <w:top w:val="none" w:sz="0" w:space="0" w:color="auto"/>
        <w:left w:val="none" w:sz="0" w:space="0" w:color="auto"/>
        <w:bottom w:val="none" w:sz="0" w:space="0" w:color="auto"/>
        <w:right w:val="none" w:sz="0" w:space="0" w:color="auto"/>
      </w:divBdr>
    </w:div>
    <w:div w:id="650987646">
      <w:bodyDiv w:val="1"/>
      <w:marLeft w:val="0"/>
      <w:marRight w:val="0"/>
      <w:marTop w:val="0"/>
      <w:marBottom w:val="0"/>
      <w:divBdr>
        <w:top w:val="none" w:sz="0" w:space="0" w:color="auto"/>
        <w:left w:val="none" w:sz="0" w:space="0" w:color="auto"/>
        <w:bottom w:val="none" w:sz="0" w:space="0" w:color="auto"/>
        <w:right w:val="none" w:sz="0" w:space="0" w:color="auto"/>
      </w:divBdr>
    </w:div>
    <w:div w:id="673261734">
      <w:bodyDiv w:val="1"/>
      <w:marLeft w:val="0"/>
      <w:marRight w:val="0"/>
      <w:marTop w:val="0"/>
      <w:marBottom w:val="0"/>
      <w:divBdr>
        <w:top w:val="none" w:sz="0" w:space="0" w:color="auto"/>
        <w:left w:val="none" w:sz="0" w:space="0" w:color="auto"/>
        <w:bottom w:val="none" w:sz="0" w:space="0" w:color="auto"/>
        <w:right w:val="none" w:sz="0" w:space="0" w:color="auto"/>
      </w:divBdr>
    </w:div>
    <w:div w:id="677119731">
      <w:bodyDiv w:val="1"/>
      <w:marLeft w:val="0"/>
      <w:marRight w:val="0"/>
      <w:marTop w:val="0"/>
      <w:marBottom w:val="0"/>
      <w:divBdr>
        <w:top w:val="none" w:sz="0" w:space="0" w:color="auto"/>
        <w:left w:val="none" w:sz="0" w:space="0" w:color="auto"/>
        <w:bottom w:val="none" w:sz="0" w:space="0" w:color="auto"/>
        <w:right w:val="none" w:sz="0" w:space="0" w:color="auto"/>
      </w:divBdr>
    </w:div>
    <w:div w:id="765228768">
      <w:bodyDiv w:val="1"/>
      <w:marLeft w:val="0"/>
      <w:marRight w:val="0"/>
      <w:marTop w:val="0"/>
      <w:marBottom w:val="0"/>
      <w:divBdr>
        <w:top w:val="none" w:sz="0" w:space="0" w:color="auto"/>
        <w:left w:val="none" w:sz="0" w:space="0" w:color="auto"/>
        <w:bottom w:val="none" w:sz="0" w:space="0" w:color="auto"/>
        <w:right w:val="none" w:sz="0" w:space="0" w:color="auto"/>
      </w:divBdr>
    </w:div>
    <w:div w:id="897016668">
      <w:bodyDiv w:val="1"/>
      <w:marLeft w:val="0"/>
      <w:marRight w:val="0"/>
      <w:marTop w:val="0"/>
      <w:marBottom w:val="0"/>
      <w:divBdr>
        <w:top w:val="none" w:sz="0" w:space="0" w:color="auto"/>
        <w:left w:val="none" w:sz="0" w:space="0" w:color="auto"/>
        <w:bottom w:val="none" w:sz="0" w:space="0" w:color="auto"/>
        <w:right w:val="none" w:sz="0" w:space="0" w:color="auto"/>
      </w:divBdr>
    </w:div>
    <w:div w:id="908271503">
      <w:bodyDiv w:val="1"/>
      <w:marLeft w:val="0"/>
      <w:marRight w:val="0"/>
      <w:marTop w:val="0"/>
      <w:marBottom w:val="0"/>
      <w:divBdr>
        <w:top w:val="none" w:sz="0" w:space="0" w:color="auto"/>
        <w:left w:val="none" w:sz="0" w:space="0" w:color="auto"/>
        <w:bottom w:val="none" w:sz="0" w:space="0" w:color="auto"/>
        <w:right w:val="none" w:sz="0" w:space="0" w:color="auto"/>
      </w:divBdr>
    </w:div>
    <w:div w:id="997153129">
      <w:bodyDiv w:val="1"/>
      <w:marLeft w:val="0"/>
      <w:marRight w:val="0"/>
      <w:marTop w:val="0"/>
      <w:marBottom w:val="0"/>
      <w:divBdr>
        <w:top w:val="none" w:sz="0" w:space="0" w:color="auto"/>
        <w:left w:val="none" w:sz="0" w:space="0" w:color="auto"/>
        <w:bottom w:val="none" w:sz="0" w:space="0" w:color="auto"/>
        <w:right w:val="none" w:sz="0" w:space="0" w:color="auto"/>
      </w:divBdr>
    </w:div>
    <w:div w:id="1014109516">
      <w:bodyDiv w:val="1"/>
      <w:marLeft w:val="0"/>
      <w:marRight w:val="0"/>
      <w:marTop w:val="0"/>
      <w:marBottom w:val="0"/>
      <w:divBdr>
        <w:top w:val="none" w:sz="0" w:space="0" w:color="auto"/>
        <w:left w:val="none" w:sz="0" w:space="0" w:color="auto"/>
        <w:bottom w:val="none" w:sz="0" w:space="0" w:color="auto"/>
        <w:right w:val="none" w:sz="0" w:space="0" w:color="auto"/>
      </w:divBdr>
    </w:div>
    <w:div w:id="1092703686">
      <w:bodyDiv w:val="1"/>
      <w:marLeft w:val="0"/>
      <w:marRight w:val="0"/>
      <w:marTop w:val="0"/>
      <w:marBottom w:val="0"/>
      <w:divBdr>
        <w:top w:val="none" w:sz="0" w:space="0" w:color="auto"/>
        <w:left w:val="none" w:sz="0" w:space="0" w:color="auto"/>
        <w:bottom w:val="none" w:sz="0" w:space="0" w:color="auto"/>
        <w:right w:val="none" w:sz="0" w:space="0" w:color="auto"/>
      </w:divBdr>
    </w:div>
    <w:div w:id="1112869145">
      <w:bodyDiv w:val="1"/>
      <w:marLeft w:val="0"/>
      <w:marRight w:val="0"/>
      <w:marTop w:val="0"/>
      <w:marBottom w:val="0"/>
      <w:divBdr>
        <w:top w:val="none" w:sz="0" w:space="0" w:color="auto"/>
        <w:left w:val="none" w:sz="0" w:space="0" w:color="auto"/>
        <w:bottom w:val="none" w:sz="0" w:space="0" w:color="auto"/>
        <w:right w:val="none" w:sz="0" w:space="0" w:color="auto"/>
      </w:divBdr>
    </w:div>
    <w:div w:id="1225869591">
      <w:bodyDiv w:val="1"/>
      <w:marLeft w:val="0"/>
      <w:marRight w:val="0"/>
      <w:marTop w:val="0"/>
      <w:marBottom w:val="0"/>
      <w:divBdr>
        <w:top w:val="none" w:sz="0" w:space="0" w:color="auto"/>
        <w:left w:val="none" w:sz="0" w:space="0" w:color="auto"/>
        <w:bottom w:val="none" w:sz="0" w:space="0" w:color="auto"/>
        <w:right w:val="none" w:sz="0" w:space="0" w:color="auto"/>
      </w:divBdr>
    </w:div>
    <w:div w:id="1237058797">
      <w:bodyDiv w:val="1"/>
      <w:marLeft w:val="0"/>
      <w:marRight w:val="0"/>
      <w:marTop w:val="0"/>
      <w:marBottom w:val="0"/>
      <w:divBdr>
        <w:top w:val="none" w:sz="0" w:space="0" w:color="auto"/>
        <w:left w:val="none" w:sz="0" w:space="0" w:color="auto"/>
        <w:bottom w:val="none" w:sz="0" w:space="0" w:color="auto"/>
        <w:right w:val="none" w:sz="0" w:space="0" w:color="auto"/>
      </w:divBdr>
    </w:div>
    <w:div w:id="1253276661">
      <w:bodyDiv w:val="1"/>
      <w:marLeft w:val="0"/>
      <w:marRight w:val="0"/>
      <w:marTop w:val="0"/>
      <w:marBottom w:val="0"/>
      <w:divBdr>
        <w:top w:val="none" w:sz="0" w:space="0" w:color="auto"/>
        <w:left w:val="none" w:sz="0" w:space="0" w:color="auto"/>
        <w:bottom w:val="none" w:sz="0" w:space="0" w:color="auto"/>
        <w:right w:val="none" w:sz="0" w:space="0" w:color="auto"/>
      </w:divBdr>
    </w:div>
    <w:div w:id="1261180767">
      <w:bodyDiv w:val="1"/>
      <w:marLeft w:val="0"/>
      <w:marRight w:val="0"/>
      <w:marTop w:val="0"/>
      <w:marBottom w:val="0"/>
      <w:divBdr>
        <w:top w:val="none" w:sz="0" w:space="0" w:color="auto"/>
        <w:left w:val="none" w:sz="0" w:space="0" w:color="auto"/>
        <w:bottom w:val="none" w:sz="0" w:space="0" w:color="auto"/>
        <w:right w:val="none" w:sz="0" w:space="0" w:color="auto"/>
      </w:divBdr>
    </w:div>
    <w:div w:id="1390150678">
      <w:bodyDiv w:val="1"/>
      <w:marLeft w:val="0"/>
      <w:marRight w:val="0"/>
      <w:marTop w:val="0"/>
      <w:marBottom w:val="0"/>
      <w:divBdr>
        <w:top w:val="none" w:sz="0" w:space="0" w:color="auto"/>
        <w:left w:val="none" w:sz="0" w:space="0" w:color="auto"/>
        <w:bottom w:val="none" w:sz="0" w:space="0" w:color="auto"/>
        <w:right w:val="none" w:sz="0" w:space="0" w:color="auto"/>
      </w:divBdr>
    </w:div>
    <w:div w:id="1394547549">
      <w:bodyDiv w:val="1"/>
      <w:marLeft w:val="0"/>
      <w:marRight w:val="0"/>
      <w:marTop w:val="0"/>
      <w:marBottom w:val="0"/>
      <w:divBdr>
        <w:top w:val="none" w:sz="0" w:space="0" w:color="auto"/>
        <w:left w:val="none" w:sz="0" w:space="0" w:color="auto"/>
        <w:bottom w:val="none" w:sz="0" w:space="0" w:color="auto"/>
        <w:right w:val="none" w:sz="0" w:space="0" w:color="auto"/>
      </w:divBdr>
    </w:div>
    <w:div w:id="1429038961">
      <w:bodyDiv w:val="1"/>
      <w:marLeft w:val="0"/>
      <w:marRight w:val="0"/>
      <w:marTop w:val="0"/>
      <w:marBottom w:val="0"/>
      <w:divBdr>
        <w:top w:val="none" w:sz="0" w:space="0" w:color="auto"/>
        <w:left w:val="none" w:sz="0" w:space="0" w:color="auto"/>
        <w:bottom w:val="none" w:sz="0" w:space="0" w:color="auto"/>
        <w:right w:val="none" w:sz="0" w:space="0" w:color="auto"/>
      </w:divBdr>
    </w:div>
    <w:div w:id="1455633399">
      <w:bodyDiv w:val="1"/>
      <w:marLeft w:val="0"/>
      <w:marRight w:val="0"/>
      <w:marTop w:val="0"/>
      <w:marBottom w:val="0"/>
      <w:divBdr>
        <w:top w:val="none" w:sz="0" w:space="0" w:color="auto"/>
        <w:left w:val="none" w:sz="0" w:space="0" w:color="auto"/>
        <w:bottom w:val="none" w:sz="0" w:space="0" w:color="auto"/>
        <w:right w:val="none" w:sz="0" w:space="0" w:color="auto"/>
      </w:divBdr>
      <w:divsChild>
        <w:div w:id="1391273491">
          <w:marLeft w:val="0"/>
          <w:marRight w:val="0"/>
          <w:marTop w:val="0"/>
          <w:marBottom w:val="0"/>
          <w:divBdr>
            <w:top w:val="none" w:sz="0" w:space="0" w:color="auto"/>
            <w:left w:val="none" w:sz="0" w:space="0" w:color="auto"/>
            <w:bottom w:val="none" w:sz="0" w:space="0" w:color="auto"/>
            <w:right w:val="none" w:sz="0" w:space="0" w:color="auto"/>
          </w:divBdr>
        </w:div>
      </w:divsChild>
    </w:div>
    <w:div w:id="1464424675">
      <w:bodyDiv w:val="1"/>
      <w:marLeft w:val="0"/>
      <w:marRight w:val="0"/>
      <w:marTop w:val="0"/>
      <w:marBottom w:val="0"/>
      <w:divBdr>
        <w:top w:val="none" w:sz="0" w:space="0" w:color="auto"/>
        <w:left w:val="none" w:sz="0" w:space="0" w:color="auto"/>
        <w:bottom w:val="none" w:sz="0" w:space="0" w:color="auto"/>
        <w:right w:val="none" w:sz="0" w:space="0" w:color="auto"/>
      </w:divBdr>
    </w:div>
    <w:div w:id="1468627900">
      <w:bodyDiv w:val="1"/>
      <w:marLeft w:val="0"/>
      <w:marRight w:val="0"/>
      <w:marTop w:val="0"/>
      <w:marBottom w:val="0"/>
      <w:divBdr>
        <w:top w:val="none" w:sz="0" w:space="0" w:color="auto"/>
        <w:left w:val="none" w:sz="0" w:space="0" w:color="auto"/>
        <w:bottom w:val="none" w:sz="0" w:space="0" w:color="auto"/>
        <w:right w:val="none" w:sz="0" w:space="0" w:color="auto"/>
      </w:divBdr>
    </w:div>
    <w:div w:id="1606424477">
      <w:bodyDiv w:val="1"/>
      <w:marLeft w:val="0"/>
      <w:marRight w:val="0"/>
      <w:marTop w:val="0"/>
      <w:marBottom w:val="0"/>
      <w:divBdr>
        <w:top w:val="none" w:sz="0" w:space="0" w:color="auto"/>
        <w:left w:val="none" w:sz="0" w:space="0" w:color="auto"/>
        <w:bottom w:val="none" w:sz="0" w:space="0" w:color="auto"/>
        <w:right w:val="none" w:sz="0" w:space="0" w:color="auto"/>
      </w:divBdr>
    </w:div>
    <w:div w:id="1632438500">
      <w:bodyDiv w:val="1"/>
      <w:marLeft w:val="0"/>
      <w:marRight w:val="0"/>
      <w:marTop w:val="0"/>
      <w:marBottom w:val="0"/>
      <w:divBdr>
        <w:top w:val="none" w:sz="0" w:space="0" w:color="auto"/>
        <w:left w:val="none" w:sz="0" w:space="0" w:color="auto"/>
        <w:bottom w:val="none" w:sz="0" w:space="0" w:color="auto"/>
        <w:right w:val="none" w:sz="0" w:space="0" w:color="auto"/>
      </w:divBdr>
    </w:div>
    <w:div w:id="1746107459">
      <w:bodyDiv w:val="1"/>
      <w:marLeft w:val="0"/>
      <w:marRight w:val="0"/>
      <w:marTop w:val="0"/>
      <w:marBottom w:val="0"/>
      <w:divBdr>
        <w:top w:val="none" w:sz="0" w:space="0" w:color="auto"/>
        <w:left w:val="none" w:sz="0" w:space="0" w:color="auto"/>
        <w:bottom w:val="none" w:sz="0" w:space="0" w:color="auto"/>
        <w:right w:val="none" w:sz="0" w:space="0" w:color="auto"/>
      </w:divBdr>
    </w:div>
    <w:div w:id="1876893611">
      <w:bodyDiv w:val="1"/>
      <w:marLeft w:val="0"/>
      <w:marRight w:val="0"/>
      <w:marTop w:val="0"/>
      <w:marBottom w:val="0"/>
      <w:divBdr>
        <w:top w:val="none" w:sz="0" w:space="0" w:color="auto"/>
        <w:left w:val="none" w:sz="0" w:space="0" w:color="auto"/>
        <w:bottom w:val="none" w:sz="0" w:space="0" w:color="auto"/>
        <w:right w:val="none" w:sz="0" w:space="0" w:color="auto"/>
      </w:divBdr>
    </w:div>
    <w:div w:id="1881895295">
      <w:bodyDiv w:val="1"/>
      <w:marLeft w:val="0"/>
      <w:marRight w:val="0"/>
      <w:marTop w:val="0"/>
      <w:marBottom w:val="0"/>
      <w:divBdr>
        <w:top w:val="none" w:sz="0" w:space="0" w:color="auto"/>
        <w:left w:val="none" w:sz="0" w:space="0" w:color="auto"/>
        <w:bottom w:val="none" w:sz="0" w:space="0" w:color="auto"/>
        <w:right w:val="none" w:sz="0" w:space="0" w:color="auto"/>
      </w:divBdr>
    </w:div>
    <w:div w:id="1949240003">
      <w:bodyDiv w:val="1"/>
      <w:marLeft w:val="0"/>
      <w:marRight w:val="0"/>
      <w:marTop w:val="0"/>
      <w:marBottom w:val="0"/>
      <w:divBdr>
        <w:top w:val="none" w:sz="0" w:space="0" w:color="auto"/>
        <w:left w:val="none" w:sz="0" w:space="0" w:color="auto"/>
        <w:bottom w:val="none" w:sz="0" w:space="0" w:color="auto"/>
        <w:right w:val="none" w:sz="0" w:space="0" w:color="auto"/>
      </w:divBdr>
    </w:div>
    <w:div w:id="1954819219">
      <w:bodyDiv w:val="1"/>
      <w:marLeft w:val="0"/>
      <w:marRight w:val="0"/>
      <w:marTop w:val="0"/>
      <w:marBottom w:val="0"/>
      <w:divBdr>
        <w:top w:val="none" w:sz="0" w:space="0" w:color="auto"/>
        <w:left w:val="none" w:sz="0" w:space="0" w:color="auto"/>
        <w:bottom w:val="none" w:sz="0" w:space="0" w:color="auto"/>
        <w:right w:val="none" w:sz="0" w:space="0" w:color="auto"/>
      </w:divBdr>
      <w:divsChild>
        <w:div w:id="1491217811">
          <w:marLeft w:val="0"/>
          <w:marRight w:val="0"/>
          <w:marTop w:val="0"/>
          <w:marBottom w:val="0"/>
          <w:divBdr>
            <w:top w:val="none" w:sz="0" w:space="0" w:color="auto"/>
            <w:left w:val="none" w:sz="0" w:space="0" w:color="auto"/>
            <w:bottom w:val="none" w:sz="0" w:space="0" w:color="auto"/>
            <w:right w:val="none" w:sz="0" w:space="0" w:color="auto"/>
          </w:divBdr>
          <w:divsChild>
            <w:div w:id="1136608847">
              <w:marLeft w:val="0"/>
              <w:marRight w:val="0"/>
              <w:marTop w:val="0"/>
              <w:marBottom w:val="0"/>
              <w:divBdr>
                <w:top w:val="none" w:sz="0" w:space="0" w:color="auto"/>
                <w:left w:val="none" w:sz="0" w:space="0" w:color="auto"/>
                <w:bottom w:val="none" w:sz="0" w:space="0" w:color="auto"/>
                <w:right w:val="none" w:sz="0" w:space="0" w:color="auto"/>
              </w:divBdr>
              <w:divsChild>
                <w:div w:id="1949923054">
                  <w:marLeft w:val="0"/>
                  <w:marRight w:val="0"/>
                  <w:marTop w:val="0"/>
                  <w:marBottom w:val="0"/>
                  <w:divBdr>
                    <w:top w:val="none" w:sz="0" w:space="0" w:color="auto"/>
                    <w:left w:val="none" w:sz="0" w:space="0" w:color="auto"/>
                    <w:bottom w:val="none" w:sz="0" w:space="0" w:color="auto"/>
                    <w:right w:val="none" w:sz="0" w:space="0" w:color="auto"/>
                  </w:divBdr>
                  <w:divsChild>
                    <w:div w:id="12876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71416">
      <w:bodyDiv w:val="1"/>
      <w:marLeft w:val="0"/>
      <w:marRight w:val="0"/>
      <w:marTop w:val="0"/>
      <w:marBottom w:val="0"/>
      <w:divBdr>
        <w:top w:val="none" w:sz="0" w:space="0" w:color="auto"/>
        <w:left w:val="none" w:sz="0" w:space="0" w:color="auto"/>
        <w:bottom w:val="none" w:sz="0" w:space="0" w:color="auto"/>
        <w:right w:val="none" w:sz="0" w:space="0" w:color="auto"/>
      </w:divBdr>
    </w:div>
    <w:div w:id="2026711434">
      <w:bodyDiv w:val="1"/>
      <w:marLeft w:val="0"/>
      <w:marRight w:val="0"/>
      <w:marTop w:val="0"/>
      <w:marBottom w:val="0"/>
      <w:divBdr>
        <w:top w:val="none" w:sz="0" w:space="0" w:color="auto"/>
        <w:left w:val="none" w:sz="0" w:space="0" w:color="auto"/>
        <w:bottom w:val="none" w:sz="0" w:space="0" w:color="auto"/>
        <w:right w:val="none" w:sz="0" w:space="0" w:color="auto"/>
      </w:divBdr>
    </w:div>
    <w:div w:id="2030523541">
      <w:bodyDiv w:val="1"/>
      <w:marLeft w:val="0"/>
      <w:marRight w:val="0"/>
      <w:marTop w:val="0"/>
      <w:marBottom w:val="0"/>
      <w:divBdr>
        <w:top w:val="none" w:sz="0" w:space="0" w:color="auto"/>
        <w:left w:val="none" w:sz="0" w:space="0" w:color="auto"/>
        <w:bottom w:val="none" w:sz="0" w:space="0" w:color="auto"/>
        <w:right w:val="none" w:sz="0" w:space="0" w:color="auto"/>
      </w:divBdr>
      <w:divsChild>
        <w:div w:id="827792074">
          <w:marLeft w:val="0"/>
          <w:marRight w:val="0"/>
          <w:marTop w:val="0"/>
          <w:marBottom w:val="0"/>
          <w:divBdr>
            <w:top w:val="none" w:sz="0" w:space="0" w:color="auto"/>
            <w:left w:val="none" w:sz="0" w:space="0" w:color="auto"/>
            <w:bottom w:val="none" w:sz="0" w:space="0" w:color="auto"/>
            <w:right w:val="none" w:sz="0" w:space="0" w:color="auto"/>
          </w:divBdr>
        </w:div>
        <w:div w:id="1027101203">
          <w:marLeft w:val="0"/>
          <w:marRight w:val="0"/>
          <w:marTop w:val="0"/>
          <w:marBottom w:val="0"/>
          <w:divBdr>
            <w:top w:val="none" w:sz="0" w:space="0" w:color="auto"/>
            <w:left w:val="none" w:sz="0" w:space="0" w:color="auto"/>
            <w:bottom w:val="none" w:sz="0" w:space="0" w:color="auto"/>
            <w:right w:val="none" w:sz="0" w:space="0" w:color="auto"/>
          </w:divBdr>
        </w:div>
        <w:div w:id="1356735767">
          <w:marLeft w:val="0"/>
          <w:marRight w:val="0"/>
          <w:marTop w:val="0"/>
          <w:marBottom w:val="0"/>
          <w:divBdr>
            <w:top w:val="none" w:sz="0" w:space="0" w:color="auto"/>
            <w:left w:val="none" w:sz="0" w:space="0" w:color="auto"/>
            <w:bottom w:val="none" w:sz="0" w:space="0" w:color="auto"/>
            <w:right w:val="none" w:sz="0" w:space="0" w:color="auto"/>
          </w:divBdr>
        </w:div>
        <w:div w:id="1841696330">
          <w:marLeft w:val="0"/>
          <w:marRight w:val="0"/>
          <w:marTop w:val="0"/>
          <w:marBottom w:val="0"/>
          <w:divBdr>
            <w:top w:val="none" w:sz="0" w:space="0" w:color="auto"/>
            <w:left w:val="none" w:sz="0" w:space="0" w:color="auto"/>
            <w:bottom w:val="none" w:sz="0" w:space="0" w:color="auto"/>
            <w:right w:val="none" w:sz="0" w:space="0" w:color="auto"/>
          </w:divBdr>
        </w:div>
        <w:div w:id="687176187">
          <w:marLeft w:val="0"/>
          <w:marRight w:val="0"/>
          <w:marTop w:val="0"/>
          <w:marBottom w:val="0"/>
          <w:divBdr>
            <w:top w:val="none" w:sz="0" w:space="0" w:color="auto"/>
            <w:left w:val="none" w:sz="0" w:space="0" w:color="auto"/>
            <w:bottom w:val="none" w:sz="0" w:space="0" w:color="auto"/>
            <w:right w:val="none" w:sz="0" w:space="0" w:color="auto"/>
          </w:divBdr>
        </w:div>
        <w:div w:id="964389368">
          <w:marLeft w:val="0"/>
          <w:marRight w:val="0"/>
          <w:marTop w:val="0"/>
          <w:marBottom w:val="0"/>
          <w:divBdr>
            <w:top w:val="none" w:sz="0" w:space="0" w:color="auto"/>
            <w:left w:val="none" w:sz="0" w:space="0" w:color="auto"/>
            <w:bottom w:val="none" w:sz="0" w:space="0" w:color="auto"/>
            <w:right w:val="none" w:sz="0" w:space="0" w:color="auto"/>
          </w:divBdr>
        </w:div>
        <w:div w:id="2052730742">
          <w:marLeft w:val="0"/>
          <w:marRight w:val="0"/>
          <w:marTop w:val="0"/>
          <w:marBottom w:val="0"/>
          <w:divBdr>
            <w:top w:val="none" w:sz="0" w:space="0" w:color="auto"/>
            <w:left w:val="none" w:sz="0" w:space="0" w:color="auto"/>
            <w:bottom w:val="none" w:sz="0" w:space="0" w:color="auto"/>
            <w:right w:val="none" w:sz="0" w:space="0" w:color="auto"/>
          </w:divBdr>
        </w:div>
        <w:div w:id="1685476602">
          <w:marLeft w:val="0"/>
          <w:marRight w:val="0"/>
          <w:marTop w:val="0"/>
          <w:marBottom w:val="0"/>
          <w:divBdr>
            <w:top w:val="none" w:sz="0" w:space="0" w:color="auto"/>
            <w:left w:val="none" w:sz="0" w:space="0" w:color="auto"/>
            <w:bottom w:val="none" w:sz="0" w:space="0" w:color="auto"/>
            <w:right w:val="none" w:sz="0" w:space="0" w:color="auto"/>
          </w:divBdr>
        </w:div>
        <w:div w:id="198856746">
          <w:marLeft w:val="0"/>
          <w:marRight w:val="0"/>
          <w:marTop w:val="0"/>
          <w:marBottom w:val="0"/>
          <w:divBdr>
            <w:top w:val="none" w:sz="0" w:space="0" w:color="auto"/>
            <w:left w:val="none" w:sz="0" w:space="0" w:color="auto"/>
            <w:bottom w:val="none" w:sz="0" w:space="0" w:color="auto"/>
            <w:right w:val="none" w:sz="0" w:space="0" w:color="auto"/>
          </w:divBdr>
        </w:div>
        <w:div w:id="191112461">
          <w:marLeft w:val="0"/>
          <w:marRight w:val="0"/>
          <w:marTop w:val="0"/>
          <w:marBottom w:val="0"/>
          <w:divBdr>
            <w:top w:val="none" w:sz="0" w:space="0" w:color="auto"/>
            <w:left w:val="none" w:sz="0" w:space="0" w:color="auto"/>
            <w:bottom w:val="none" w:sz="0" w:space="0" w:color="auto"/>
            <w:right w:val="none" w:sz="0" w:space="0" w:color="auto"/>
          </w:divBdr>
        </w:div>
        <w:div w:id="1969823241">
          <w:marLeft w:val="0"/>
          <w:marRight w:val="0"/>
          <w:marTop w:val="0"/>
          <w:marBottom w:val="0"/>
          <w:divBdr>
            <w:top w:val="none" w:sz="0" w:space="0" w:color="auto"/>
            <w:left w:val="none" w:sz="0" w:space="0" w:color="auto"/>
            <w:bottom w:val="none" w:sz="0" w:space="0" w:color="auto"/>
            <w:right w:val="none" w:sz="0" w:space="0" w:color="auto"/>
          </w:divBdr>
        </w:div>
        <w:div w:id="1149440798">
          <w:marLeft w:val="0"/>
          <w:marRight w:val="0"/>
          <w:marTop w:val="0"/>
          <w:marBottom w:val="0"/>
          <w:divBdr>
            <w:top w:val="none" w:sz="0" w:space="0" w:color="auto"/>
            <w:left w:val="none" w:sz="0" w:space="0" w:color="auto"/>
            <w:bottom w:val="none" w:sz="0" w:space="0" w:color="auto"/>
            <w:right w:val="none" w:sz="0" w:space="0" w:color="auto"/>
          </w:divBdr>
        </w:div>
      </w:divsChild>
    </w:div>
    <w:div w:id="2065063537">
      <w:bodyDiv w:val="1"/>
      <w:marLeft w:val="0"/>
      <w:marRight w:val="0"/>
      <w:marTop w:val="0"/>
      <w:marBottom w:val="0"/>
      <w:divBdr>
        <w:top w:val="none" w:sz="0" w:space="0" w:color="auto"/>
        <w:left w:val="none" w:sz="0" w:space="0" w:color="auto"/>
        <w:bottom w:val="none" w:sz="0" w:space="0" w:color="auto"/>
        <w:right w:val="none" w:sz="0" w:space="0" w:color="auto"/>
      </w:divBdr>
    </w:div>
    <w:div w:id="2066906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hyperlink" Target="http://socijalnoukljucivanje.gov.rs/wp-content/uploads/2020/09/Mapiranje_usluga_socijalne_zastite_i_materijalne_podrske_u_nadleznosti_JLS_u_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ocijalnoukljucivanje.gov.rs/wp-content/uploads/2020/09/Mapiranje_usluga_socijalne_zastite_i_materijalne_podrske_u_nadleznosti_JLS_u_RS.pdf"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s>
</file>

<file path=word/_rels/footnotes.xml.rels><?xml version="1.0" encoding="UTF-8" standalone="yes"?>
<Relationships xmlns="http://schemas.openxmlformats.org/package/2006/relationships"><Relationship Id="rId3" Type="http://schemas.openxmlformats.org/officeDocument/2006/relationships/hyperlink" Target="http://socijalnoukljucivanje.gov.rs/wp-content/uploads/2020/09/Mapiranje_usluga_socijalne_zastite_i_materijalne_podrske_u_nadleznosti_JLS_u_RS.pdf" TargetMode="External"/><Relationship Id="rId2" Type="http://schemas.openxmlformats.org/officeDocument/2006/relationships/hyperlink" Target="http://sdg.indikatori.rs/sr-latn/area/no-poverty/?subarea=SDGUN010301&amp;indicator=010301IND02" TargetMode="External"/><Relationship Id="rId1" Type="http://schemas.openxmlformats.org/officeDocument/2006/relationships/hyperlink" Target="https://www.regionalnirazvoj.gov.rs/Lat/ShowNARRFolder.aspx?mi=4" TargetMode="External"/><Relationship Id="rId6" Type="http://schemas.openxmlformats.org/officeDocument/2006/relationships/hyperlink" Target="https://publikacije.stat.gov.rs/G2020/Pdf/G202013047.pdf" TargetMode="External"/><Relationship Id="rId5" Type="http://schemas.openxmlformats.org/officeDocument/2006/relationships/hyperlink" Target="http://www.pravno-informacioni-sistem.rs/SlGlasnikPortal/eli/rep/sgrs/skupstina/zakon/2019/25/2" TargetMode="External"/><Relationship Id="rId4" Type="http://schemas.openxmlformats.org/officeDocument/2006/relationships/hyperlink" Target="https://www.minrzs.gov.rs/sites/default/files/2018-11/22%20Samoubistva%20u%20Srbiji%20I%20dalje%20oko%20evropskog%20proseka.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gordanamatkovic\Desktop\SKGO%202021\Bac&#780;\Grafikon%201%20Udeo%20korisnika%20novc&#780;ane%20socijalne%20pomoc&#769;i%20u%20ukupnoj%20populaciji%20%20Procenat.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Book5"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Users\gordanamatkovic\Desktop\SKGO%202021\Bac&#780;\Udeo%20korisnika%20socijalne%20zas&#780;tite%20u%20ukupnoj%20populaciji%20%20Procenat-2.xls"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Users\gordanamatkovic\Desktop\SKGO%202021\Bac&#780;\rashodi%20za%20SZ%20Bac&#780;.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1" Type="http://schemas.openxmlformats.org/officeDocument/2006/relationships/oleObject" Target="file:///\\Users\gordanamatkovic\Desktop\SKGO%202021\podaci%20RS\zdravstveni\GRAFIKON%207%20smrtnost%20dece%20tokojm%20vremen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Table!$B$1</c:f>
              <c:strCache>
                <c:ptCount val="1"/>
                <c:pt idx="0">
                  <c:v>Južnobački okrug</c:v>
                </c:pt>
              </c:strCache>
            </c:strRef>
          </c:tx>
          <c:spPr>
            <a:ln w="28575" cap="rnd">
              <a:solidFill>
                <a:schemeClr val="accent1"/>
              </a:solidFill>
              <a:round/>
            </a:ln>
            <a:effectLst/>
          </c:spPr>
          <c:marker>
            <c:symbol val="none"/>
          </c:marker>
          <c:cat>
            <c:numRef>
              <c:f>Table!$A$2:$A$9</c:f>
              <c:numCache>
                <c:formatCode>General</c:formatCode>
                <c:ptCount val="8"/>
                <c:pt idx="0">
                  <c:v>2012</c:v>
                </c:pt>
                <c:pt idx="1">
                  <c:v>2013</c:v>
                </c:pt>
                <c:pt idx="2">
                  <c:v>2014</c:v>
                </c:pt>
                <c:pt idx="3">
                  <c:v>2015</c:v>
                </c:pt>
                <c:pt idx="4">
                  <c:v>2016</c:v>
                </c:pt>
                <c:pt idx="5">
                  <c:v>2017</c:v>
                </c:pt>
                <c:pt idx="6">
                  <c:v>2018</c:v>
                </c:pt>
                <c:pt idx="7">
                  <c:v>2019</c:v>
                </c:pt>
              </c:numCache>
            </c:numRef>
          </c:cat>
          <c:val>
            <c:numRef>
              <c:f>Table!$B$2:$B$9</c:f>
              <c:numCache>
                <c:formatCode>General</c:formatCode>
                <c:ptCount val="8"/>
                <c:pt idx="0">
                  <c:v>3</c:v>
                </c:pt>
                <c:pt idx="1">
                  <c:v>3.6</c:v>
                </c:pt>
                <c:pt idx="2">
                  <c:v>3.8</c:v>
                </c:pt>
                <c:pt idx="3">
                  <c:v>3.7</c:v>
                </c:pt>
                <c:pt idx="4">
                  <c:v>3.7</c:v>
                </c:pt>
                <c:pt idx="5">
                  <c:v>3.3</c:v>
                </c:pt>
                <c:pt idx="6">
                  <c:v>2.8</c:v>
                </c:pt>
                <c:pt idx="7">
                  <c:v>2.5</c:v>
                </c:pt>
              </c:numCache>
            </c:numRef>
          </c:val>
          <c:smooth val="0"/>
          <c:extLst>
            <c:ext xmlns:c16="http://schemas.microsoft.com/office/drawing/2014/chart" uri="{C3380CC4-5D6E-409C-BE32-E72D297353CC}">
              <c16:uniqueId val="{00000000-F8F5-F24E-A42A-BE6AE8C79C80}"/>
            </c:ext>
          </c:extLst>
        </c:ser>
        <c:ser>
          <c:idx val="1"/>
          <c:order val="1"/>
          <c:tx>
            <c:strRef>
              <c:f>Table!$C$1</c:f>
              <c:strCache>
                <c:ptCount val="1"/>
                <c:pt idx="0">
                  <c:v>Bač</c:v>
                </c:pt>
              </c:strCache>
            </c:strRef>
          </c:tx>
          <c:spPr>
            <a:ln w="28575" cap="rnd">
              <a:solidFill>
                <a:schemeClr val="accent2"/>
              </a:solidFill>
              <a:round/>
            </a:ln>
            <a:effectLst/>
          </c:spPr>
          <c:marker>
            <c:symbol val="none"/>
          </c:marker>
          <c:cat>
            <c:numRef>
              <c:f>Table!$A$2:$A$9</c:f>
              <c:numCache>
                <c:formatCode>General</c:formatCode>
                <c:ptCount val="8"/>
                <c:pt idx="0">
                  <c:v>2012</c:v>
                </c:pt>
                <c:pt idx="1">
                  <c:v>2013</c:v>
                </c:pt>
                <c:pt idx="2">
                  <c:v>2014</c:v>
                </c:pt>
                <c:pt idx="3">
                  <c:v>2015</c:v>
                </c:pt>
                <c:pt idx="4">
                  <c:v>2016</c:v>
                </c:pt>
                <c:pt idx="5">
                  <c:v>2017</c:v>
                </c:pt>
                <c:pt idx="6">
                  <c:v>2018</c:v>
                </c:pt>
                <c:pt idx="7">
                  <c:v>2019</c:v>
                </c:pt>
              </c:numCache>
            </c:numRef>
          </c:cat>
          <c:val>
            <c:numRef>
              <c:f>Table!$C$2:$C$9</c:f>
              <c:numCache>
                <c:formatCode>General</c:formatCode>
                <c:ptCount val="8"/>
                <c:pt idx="0">
                  <c:v>1.4</c:v>
                </c:pt>
                <c:pt idx="1">
                  <c:v>1.7</c:v>
                </c:pt>
                <c:pt idx="2">
                  <c:v>1.9</c:v>
                </c:pt>
                <c:pt idx="3">
                  <c:v>2</c:v>
                </c:pt>
                <c:pt idx="4">
                  <c:v>2.5</c:v>
                </c:pt>
                <c:pt idx="5">
                  <c:v>2.6</c:v>
                </c:pt>
                <c:pt idx="6">
                  <c:v>2.7</c:v>
                </c:pt>
                <c:pt idx="7">
                  <c:v>2.6</c:v>
                </c:pt>
              </c:numCache>
            </c:numRef>
          </c:val>
          <c:smooth val="0"/>
          <c:extLst>
            <c:ext xmlns:c16="http://schemas.microsoft.com/office/drawing/2014/chart" uri="{C3380CC4-5D6E-409C-BE32-E72D297353CC}">
              <c16:uniqueId val="{00000001-F8F5-F24E-A42A-BE6AE8C79C80}"/>
            </c:ext>
          </c:extLst>
        </c:ser>
        <c:ser>
          <c:idx val="2"/>
          <c:order val="2"/>
          <c:tx>
            <c:strRef>
              <c:f>Table!$D$1</c:f>
              <c:strCache>
                <c:ptCount val="1"/>
                <c:pt idx="0">
                  <c:v>REPUBLIKA SRBIJA</c:v>
                </c:pt>
              </c:strCache>
            </c:strRef>
          </c:tx>
          <c:spPr>
            <a:ln w="28575" cap="rnd">
              <a:solidFill>
                <a:schemeClr val="accent3"/>
              </a:solidFill>
              <a:round/>
            </a:ln>
            <a:effectLst/>
          </c:spPr>
          <c:marker>
            <c:symbol val="none"/>
          </c:marker>
          <c:cat>
            <c:numRef>
              <c:f>Table!$A$2:$A$9</c:f>
              <c:numCache>
                <c:formatCode>General</c:formatCode>
                <c:ptCount val="8"/>
                <c:pt idx="0">
                  <c:v>2012</c:v>
                </c:pt>
                <c:pt idx="1">
                  <c:v>2013</c:v>
                </c:pt>
                <c:pt idx="2">
                  <c:v>2014</c:v>
                </c:pt>
                <c:pt idx="3">
                  <c:v>2015</c:v>
                </c:pt>
                <c:pt idx="4">
                  <c:v>2016</c:v>
                </c:pt>
                <c:pt idx="5">
                  <c:v>2017</c:v>
                </c:pt>
                <c:pt idx="6">
                  <c:v>2018</c:v>
                </c:pt>
                <c:pt idx="7">
                  <c:v>2019</c:v>
                </c:pt>
              </c:numCache>
            </c:numRef>
          </c:cat>
          <c:val>
            <c:numRef>
              <c:f>Table!$D$2:$D$9</c:f>
              <c:numCache>
                <c:formatCode>General</c:formatCode>
                <c:ptCount val="8"/>
                <c:pt idx="0">
                  <c:v>3.4</c:v>
                </c:pt>
                <c:pt idx="1">
                  <c:v>3.7</c:v>
                </c:pt>
                <c:pt idx="2">
                  <c:v>3.7</c:v>
                </c:pt>
                <c:pt idx="3">
                  <c:v>3.6</c:v>
                </c:pt>
                <c:pt idx="4">
                  <c:v>3.6</c:v>
                </c:pt>
                <c:pt idx="5">
                  <c:v>3.5</c:v>
                </c:pt>
                <c:pt idx="6">
                  <c:v>3.3</c:v>
                </c:pt>
                <c:pt idx="7">
                  <c:v>3.1</c:v>
                </c:pt>
              </c:numCache>
            </c:numRef>
          </c:val>
          <c:smooth val="0"/>
          <c:extLst>
            <c:ext xmlns:c16="http://schemas.microsoft.com/office/drawing/2014/chart" uri="{C3380CC4-5D6E-409C-BE32-E72D297353CC}">
              <c16:uniqueId val="{00000002-F8F5-F24E-A42A-BE6AE8C79C80}"/>
            </c:ext>
          </c:extLst>
        </c:ser>
        <c:dLbls>
          <c:showLegendKey val="0"/>
          <c:showVal val="0"/>
          <c:showCatName val="0"/>
          <c:showSerName val="0"/>
          <c:showPercent val="0"/>
          <c:showBubbleSize val="0"/>
        </c:dLbls>
        <c:smooth val="0"/>
        <c:axId val="1937086400"/>
        <c:axId val="1"/>
      </c:lineChart>
      <c:catAx>
        <c:axId val="193708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37086400"/>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Sheet1!$B$2</c:f>
              <c:strCache>
                <c:ptCount val="1"/>
                <c:pt idx="0">
                  <c:v>DD (osnovni)</c:v>
                </c:pt>
              </c:strCache>
            </c:strRef>
          </c:tx>
          <c:spPr>
            <a:solidFill>
              <a:schemeClr val="accent1"/>
            </a:solidFill>
            <a:ln>
              <a:noFill/>
            </a:ln>
            <a:effectLst/>
          </c:spPr>
          <c:cat>
            <c:numRef>
              <c:f>Sheet1!$A$3:$A$12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Sheet1!$B$3:$B$12</c:f>
              <c:numCache>
                <c:formatCode>General</c:formatCode>
                <c:ptCount val="10"/>
                <c:pt idx="0">
                  <c:v>1028</c:v>
                </c:pt>
                <c:pt idx="1">
                  <c:v>1056</c:v>
                </c:pt>
                <c:pt idx="2">
                  <c:v>1030</c:v>
                </c:pt>
                <c:pt idx="3">
                  <c:v>1003</c:v>
                </c:pt>
                <c:pt idx="4">
                  <c:v>969</c:v>
                </c:pt>
                <c:pt idx="5">
                  <c:v>895</c:v>
                </c:pt>
                <c:pt idx="6">
                  <c:v>871</c:v>
                </c:pt>
                <c:pt idx="7">
                  <c:v>822</c:v>
                </c:pt>
                <c:pt idx="8">
                  <c:v>736</c:v>
                </c:pt>
                <c:pt idx="9">
                  <c:v>677</c:v>
                </c:pt>
              </c:numCache>
            </c:numRef>
          </c:val>
          <c:extLst>
            <c:ext xmlns:c16="http://schemas.microsoft.com/office/drawing/2014/chart" uri="{C3380CC4-5D6E-409C-BE32-E72D297353CC}">
              <c16:uniqueId val="{00000000-8488-A441-ACA9-6A874366A782}"/>
            </c:ext>
          </c:extLst>
        </c:ser>
        <c:ser>
          <c:idx val="1"/>
          <c:order val="1"/>
          <c:tx>
            <c:strRef>
              <c:f>Sheet1!$C$2</c:f>
              <c:strCache>
                <c:ptCount val="1"/>
                <c:pt idx="0">
                  <c:v>DD (uvećani)</c:v>
                </c:pt>
              </c:strCache>
            </c:strRef>
          </c:tx>
          <c:spPr>
            <a:solidFill>
              <a:schemeClr val="accent2"/>
            </a:solidFill>
            <a:ln>
              <a:noFill/>
            </a:ln>
            <a:effectLst/>
          </c:spPr>
          <c:cat>
            <c:numRef>
              <c:f>Sheet1!$A$3:$A$12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Sheet1!$C$3:$C$12</c:f>
              <c:numCache>
                <c:formatCode>General</c:formatCode>
                <c:ptCount val="10"/>
                <c:pt idx="0">
                  <c:v>156</c:v>
                </c:pt>
                <c:pt idx="1">
                  <c:v>157</c:v>
                </c:pt>
                <c:pt idx="2">
                  <c:v>163</c:v>
                </c:pt>
                <c:pt idx="3">
                  <c:v>164</c:v>
                </c:pt>
                <c:pt idx="4">
                  <c:v>138</c:v>
                </c:pt>
                <c:pt idx="5">
                  <c:v>139</c:v>
                </c:pt>
                <c:pt idx="6">
                  <c:v>153</c:v>
                </c:pt>
                <c:pt idx="7">
                  <c:v>155</c:v>
                </c:pt>
                <c:pt idx="8">
                  <c:v>136</c:v>
                </c:pt>
                <c:pt idx="9">
                  <c:v>147</c:v>
                </c:pt>
              </c:numCache>
            </c:numRef>
          </c:val>
          <c:extLst>
            <c:ext xmlns:c16="http://schemas.microsoft.com/office/drawing/2014/chart" uri="{C3380CC4-5D6E-409C-BE32-E72D297353CC}">
              <c16:uniqueId val="{00000001-8488-A441-ACA9-6A874366A782}"/>
            </c:ext>
          </c:extLst>
        </c:ser>
        <c:dLbls>
          <c:showLegendKey val="0"/>
          <c:showVal val="0"/>
          <c:showCatName val="0"/>
          <c:showSerName val="0"/>
          <c:showPercent val="0"/>
          <c:showBubbleSize val="0"/>
        </c:dLbls>
        <c:axId val="1291723904"/>
        <c:axId val="1291725552"/>
      </c:areaChart>
      <c:catAx>
        <c:axId val="12917239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291725552"/>
        <c:crosses val="autoZero"/>
        <c:auto val="1"/>
        <c:lblAlgn val="ctr"/>
        <c:lblOffset val="100"/>
        <c:noMultiLvlLbl val="0"/>
      </c:catAx>
      <c:valAx>
        <c:axId val="1291725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29172390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Table!$B$1</c:f>
              <c:strCache>
                <c:ptCount val="1"/>
                <c:pt idx="0">
                  <c:v>Južnobačka oblast</c:v>
                </c:pt>
              </c:strCache>
            </c:strRef>
          </c:tx>
          <c:spPr>
            <a:ln w="28575" cap="rnd">
              <a:solidFill>
                <a:schemeClr val="accent1"/>
              </a:solidFill>
              <a:round/>
            </a:ln>
            <a:effectLst/>
          </c:spPr>
          <c:marker>
            <c:symbol val="none"/>
          </c:marker>
          <c:cat>
            <c:numRef>
              <c:f>Table!$A$2:$A$10</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Table!$B$2:$B$10</c:f>
              <c:numCache>
                <c:formatCode>General</c:formatCode>
                <c:ptCount val="9"/>
                <c:pt idx="0">
                  <c:v>7.1</c:v>
                </c:pt>
                <c:pt idx="1">
                  <c:v>7.7</c:v>
                </c:pt>
                <c:pt idx="2">
                  <c:v>8.3000000000000007</c:v>
                </c:pt>
                <c:pt idx="3">
                  <c:v>8.5</c:v>
                </c:pt>
                <c:pt idx="4">
                  <c:v>8.6</c:v>
                </c:pt>
                <c:pt idx="5">
                  <c:v>9.1999999999999993</c:v>
                </c:pt>
                <c:pt idx="6">
                  <c:v>8.6999999999999993</c:v>
                </c:pt>
                <c:pt idx="7">
                  <c:v>9</c:v>
                </c:pt>
                <c:pt idx="8">
                  <c:v>8.1</c:v>
                </c:pt>
              </c:numCache>
            </c:numRef>
          </c:val>
          <c:smooth val="0"/>
          <c:extLst>
            <c:ext xmlns:c16="http://schemas.microsoft.com/office/drawing/2014/chart" uri="{C3380CC4-5D6E-409C-BE32-E72D297353CC}">
              <c16:uniqueId val="{00000000-16E7-874E-B12C-B58F5912CC1E}"/>
            </c:ext>
          </c:extLst>
        </c:ser>
        <c:ser>
          <c:idx val="1"/>
          <c:order val="1"/>
          <c:tx>
            <c:strRef>
              <c:f>Table!$C$1</c:f>
              <c:strCache>
                <c:ptCount val="1"/>
                <c:pt idx="0">
                  <c:v>Bač</c:v>
                </c:pt>
              </c:strCache>
            </c:strRef>
          </c:tx>
          <c:spPr>
            <a:ln w="28575" cap="rnd">
              <a:solidFill>
                <a:schemeClr val="accent2"/>
              </a:solidFill>
              <a:round/>
            </a:ln>
            <a:effectLst/>
          </c:spPr>
          <c:marker>
            <c:symbol val="none"/>
          </c:marker>
          <c:cat>
            <c:numRef>
              <c:f>Table!$A$2:$A$10</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Table!$C$2:$C$10</c:f>
              <c:numCache>
                <c:formatCode>General</c:formatCode>
                <c:ptCount val="9"/>
                <c:pt idx="0">
                  <c:v>4.5</c:v>
                </c:pt>
                <c:pt idx="1">
                  <c:v>5.8</c:v>
                </c:pt>
                <c:pt idx="2">
                  <c:v>7.6</c:v>
                </c:pt>
                <c:pt idx="3">
                  <c:v>6.8</c:v>
                </c:pt>
                <c:pt idx="4">
                  <c:v>5.6</c:v>
                </c:pt>
                <c:pt idx="5">
                  <c:v>12.3</c:v>
                </c:pt>
                <c:pt idx="6">
                  <c:v>15.7</c:v>
                </c:pt>
                <c:pt idx="7">
                  <c:v>17</c:v>
                </c:pt>
                <c:pt idx="8">
                  <c:v>17.5</c:v>
                </c:pt>
              </c:numCache>
            </c:numRef>
          </c:val>
          <c:smooth val="0"/>
          <c:extLst>
            <c:ext xmlns:c16="http://schemas.microsoft.com/office/drawing/2014/chart" uri="{C3380CC4-5D6E-409C-BE32-E72D297353CC}">
              <c16:uniqueId val="{00000001-16E7-874E-B12C-B58F5912CC1E}"/>
            </c:ext>
          </c:extLst>
        </c:ser>
        <c:ser>
          <c:idx val="2"/>
          <c:order val="2"/>
          <c:tx>
            <c:strRef>
              <c:f>Table!$D$1</c:f>
              <c:strCache>
                <c:ptCount val="1"/>
                <c:pt idx="0">
                  <c:v>REPUBLIKA SRBIJA</c:v>
                </c:pt>
              </c:strCache>
            </c:strRef>
          </c:tx>
          <c:spPr>
            <a:ln w="28575" cap="rnd">
              <a:solidFill>
                <a:schemeClr val="accent3"/>
              </a:solidFill>
              <a:round/>
            </a:ln>
            <a:effectLst/>
          </c:spPr>
          <c:marker>
            <c:symbol val="none"/>
          </c:marker>
          <c:cat>
            <c:numRef>
              <c:f>Table!$A$2:$A$10</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Table!$D$2:$D$10</c:f>
              <c:numCache>
                <c:formatCode>General</c:formatCode>
                <c:ptCount val="9"/>
                <c:pt idx="0">
                  <c:v>7.9</c:v>
                </c:pt>
                <c:pt idx="1">
                  <c:v>8.5</c:v>
                </c:pt>
                <c:pt idx="2">
                  <c:v>8.9</c:v>
                </c:pt>
                <c:pt idx="3">
                  <c:v>9.3000000000000007</c:v>
                </c:pt>
                <c:pt idx="4">
                  <c:v>9.5</c:v>
                </c:pt>
                <c:pt idx="5">
                  <c:v>10</c:v>
                </c:pt>
                <c:pt idx="6">
                  <c:v>10.1</c:v>
                </c:pt>
                <c:pt idx="7">
                  <c:v>10.5</c:v>
                </c:pt>
                <c:pt idx="8">
                  <c:v>10.3</c:v>
                </c:pt>
              </c:numCache>
            </c:numRef>
          </c:val>
          <c:smooth val="0"/>
          <c:extLst>
            <c:ext xmlns:c16="http://schemas.microsoft.com/office/drawing/2014/chart" uri="{C3380CC4-5D6E-409C-BE32-E72D297353CC}">
              <c16:uniqueId val="{00000002-16E7-874E-B12C-B58F5912CC1E}"/>
            </c:ext>
          </c:extLst>
        </c:ser>
        <c:dLbls>
          <c:showLegendKey val="0"/>
          <c:showVal val="0"/>
          <c:showCatName val="0"/>
          <c:showSerName val="0"/>
          <c:showPercent val="0"/>
          <c:showBubbleSize val="0"/>
        </c:dLbls>
        <c:smooth val="0"/>
        <c:axId val="948853216"/>
        <c:axId val="948854864"/>
      </c:lineChart>
      <c:catAx>
        <c:axId val="94885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48854864"/>
        <c:crosses val="autoZero"/>
        <c:auto val="1"/>
        <c:lblAlgn val="ctr"/>
        <c:lblOffset val="100"/>
        <c:noMultiLvlLbl val="0"/>
      </c:catAx>
      <c:valAx>
        <c:axId val="948854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4885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Sheet1!$A$2:$A$6</c:f>
              <c:numCache>
                <c:formatCode>General</c:formatCode>
                <c:ptCount val="5"/>
                <c:pt idx="0">
                  <c:v>2015</c:v>
                </c:pt>
                <c:pt idx="1">
                  <c:v>2016</c:v>
                </c:pt>
                <c:pt idx="2">
                  <c:v>2017</c:v>
                </c:pt>
                <c:pt idx="3">
                  <c:v>2018</c:v>
                </c:pt>
                <c:pt idx="4">
                  <c:v>2019</c:v>
                </c:pt>
              </c:numCache>
            </c:numRef>
          </c:cat>
          <c:val>
            <c:numRef>
              <c:f>Sheet1!$B$2:$B$6</c:f>
              <c:numCache>
                <c:formatCode>0.0</c:formatCode>
                <c:ptCount val="5"/>
                <c:pt idx="0">
                  <c:v>2.6126225218064429</c:v>
                </c:pt>
                <c:pt idx="1">
                  <c:v>3.3299049231314348</c:v>
                </c:pt>
                <c:pt idx="2">
                  <c:v>4.3165967030657368</c:v>
                </c:pt>
                <c:pt idx="3">
                  <c:v>4.2258143751759967</c:v>
                </c:pt>
                <c:pt idx="4">
                  <c:v>4.5646936695158136</c:v>
                </c:pt>
              </c:numCache>
            </c:numRef>
          </c:val>
          <c:extLst>
            <c:ext xmlns:c16="http://schemas.microsoft.com/office/drawing/2014/chart" uri="{C3380CC4-5D6E-409C-BE32-E72D297353CC}">
              <c16:uniqueId val="{00000000-3513-2F40-BA95-CF86969966B3}"/>
            </c:ext>
          </c:extLst>
        </c:ser>
        <c:dLbls>
          <c:showLegendKey val="0"/>
          <c:showVal val="0"/>
          <c:showCatName val="0"/>
          <c:showSerName val="0"/>
          <c:showPercent val="0"/>
          <c:showBubbleSize val="0"/>
        </c:dLbls>
        <c:gapWidth val="219"/>
        <c:overlap val="-27"/>
        <c:axId val="972936304"/>
        <c:axId val="972937952"/>
      </c:barChart>
      <c:catAx>
        <c:axId val="97293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72937952"/>
        <c:crosses val="autoZero"/>
        <c:auto val="1"/>
        <c:lblAlgn val="ctr"/>
        <c:lblOffset val="100"/>
        <c:noMultiLvlLbl val="0"/>
      </c:catAx>
      <c:valAx>
        <c:axId val="9729379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72936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Sheet1!$N$57</c:f>
              <c:strCache>
                <c:ptCount val="1"/>
                <c:pt idx="0">
                  <c:v>Opšta stopa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Sheet1!$O$56:$P$56</c:f>
              <c:strCache>
                <c:ptCount val="2"/>
                <c:pt idx="0">
                  <c:v>Srbija (%)</c:v>
                </c:pt>
                <c:pt idx="1">
                  <c:v>Bač (%)</c:v>
                </c:pt>
              </c:strCache>
            </c:strRef>
          </c:cat>
          <c:val>
            <c:numRef>
              <c:f>Sheet1!$O$57:$P$57</c:f>
              <c:numCache>
                <c:formatCode>General</c:formatCode>
                <c:ptCount val="2"/>
                <c:pt idx="0">
                  <c:v>1.3</c:v>
                </c:pt>
                <c:pt idx="1">
                  <c:v>5.0999999999999996</c:v>
                </c:pt>
              </c:numCache>
            </c:numRef>
          </c:val>
          <c:extLst>
            <c:ext xmlns:c16="http://schemas.microsoft.com/office/drawing/2014/chart" uri="{C3380CC4-5D6E-409C-BE32-E72D297353CC}">
              <c16:uniqueId val="{00000000-E623-E34D-8896-2BA9837D820C}"/>
            </c:ext>
          </c:extLst>
        </c:ser>
        <c:ser>
          <c:idx val="1"/>
          <c:order val="1"/>
          <c:tx>
            <c:strRef>
              <c:f>Sheet1!$N$58</c:f>
              <c:strCache>
                <c:ptCount val="1"/>
                <c:pt idx="0">
                  <c:v>Hipotetička  stopa </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Sheet1!$O$56:$P$56</c:f>
              <c:strCache>
                <c:ptCount val="2"/>
                <c:pt idx="0">
                  <c:v>Srbija (%)</c:v>
                </c:pt>
                <c:pt idx="1">
                  <c:v>Bač (%)</c:v>
                </c:pt>
              </c:strCache>
            </c:strRef>
          </c:cat>
          <c:val>
            <c:numRef>
              <c:f>Sheet1!$O$58:$P$58</c:f>
              <c:numCache>
                <c:formatCode>General</c:formatCode>
                <c:ptCount val="2"/>
                <c:pt idx="0">
                  <c:v>0.7</c:v>
                </c:pt>
                <c:pt idx="1">
                  <c:v>2.6</c:v>
                </c:pt>
              </c:numCache>
            </c:numRef>
          </c:val>
          <c:extLst>
            <c:ext xmlns:c16="http://schemas.microsoft.com/office/drawing/2014/chart" uri="{C3380CC4-5D6E-409C-BE32-E72D297353CC}">
              <c16:uniqueId val="{00000001-E623-E34D-8896-2BA9837D820C}"/>
            </c:ext>
          </c:extLst>
        </c:ser>
        <c:dLbls>
          <c:showLegendKey val="0"/>
          <c:showVal val="0"/>
          <c:showCatName val="0"/>
          <c:showSerName val="0"/>
          <c:showPercent val="0"/>
          <c:showBubbleSize val="0"/>
        </c:dLbls>
        <c:gapWidth val="219"/>
        <c:overlap val="-27"/>
        <c:axId val="1468353103"/>
        <c:axId val="1468368079"/>
      </c:barChart>
      <c:catAx>
        <c:axId val="1468353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468368079"/>
        <c:crosses val="autoZero"/>
        <c:auto val="1"/>
        <c:lblAlgn val="ctr"/>
        <c:lblOffset val="100"/>
        <c:noMultiLvlLbl val="0"/>
      </c:catAx>
      <c:valAx>
        <c:axId val="14683680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4683531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REPUBLIKA SRBIJA</c:v>
          </c:tx>
          <c:spPr>
            <a:ln w="28575" cap="rnd">
              <a:solidFill>
                <a:schemeClr val="accent1"/>
              </a:solidFill>
              <a:round/>
            </a:ln>
            <a:effectLst/>
          </c:spPr>
          <c:marker>
            <c:symbol val="none"/>
          </c:marker>
          <c:cat>
            <c:numRef>
              <c:f>Table!$C$22:$C$31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Table!$D$42:$D$51</c:f>
              <c:numCache>
                <c:formatCode>General</c:formatCode>
                <c:ptCount val="10"/>
                <c:pt idx="0">
                  <c:v>6.7</c:v>
                </c:pt>
                <c:pt idx="1">
                  <c:v>6.3</c:v>
                </c:pt>
                <c:pt idx="2">
                  <c:v>6.2</c:v>
                </c:pt>
                <c:pt idx="3">
                  <c:v>6.3</c:v>
                </c:pt>
                <c:pt idx="4">
                  <c:v>5.7</c:v>
                </c:pt>
                <c:pt idx="5">
                  <c:v>5.3</c:v>
                </c:pt>
                <c:pt idx="6">
                  <c:v>5.4</c:v>
                </c:pt>
                <c:pt idx="7">
                  <c:v>4.7</c:v>
                </c:pt>
                <c:pt idx="8">
                  <c:v>4.9000000000000004</c:v>
                </c:pt>
                <c:pt idx="9">
                  <c:v>4.8</c:v>
                </c:pt>
              </c:numCache>
            </c:numRef>
          </c:val>
          <c:smooth val="0"/>
          <c:extLst>
            <c:ext xmlns:c16="http://schemas.microsoft.com/office/drawing/2014/chart" uri="{C3380CC4-5D6E-409C-BE32-E72D297353CC}">
              <c16:uniqueId val="{00000000-0989-BF45-B991-2F848EDED69F}"/>
            </c:ext>
          </c:extLst>
        </c:ser>
        <c:ser>
          <c:idx val="1"/>
          <c:order val="1"/>
          <c:tx>
            <c:strRef>
              <c:f>Table!$A$2</c:f>
              <c:strCache>
                <c:ptCount val="1"/>
                <c:pt idx="0">
                  <c:v>Bač</c:v>
                </c:pt>
              </c:strCache>
            </c:strRef>
          </c:tx>
          <c:spPr>
            <a:ln w="28575" cap="rnd">
              <a:solidFill>
                <a:schemeClr val="accent2"/>
              </a:solidFill>
              <a:round/>
            </a:ln>
            <a:effectLst/>
          </c:spPr>
          <c:marker>
            <c:symbol val="none"/>
          </c:marker>
          <c:cat>
            <c:numRef>
              <c:f>Table!$C$22:$C$31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Table!$D$2:$D$11</c:f>
              <c:numCache>
                <c:formatCode>General</c:formatCode>
                <c:ptCount val="10"/>
                <c:pt idx="0">
                  <c:v>0</c:v>
                </c:pt>
                <c:pt idx="1">
                  <c:v>0</c:v>
                </c:pt>
                <c:pt idx="2">
                  <c:v>17.5</c:v>
                </c:pt>
                <c:pt idx="3">
                  <c:v>17.399999999999999</c:v>
                </c:pt>
                <c:pt idx="4">
                  <c:v>0</c:v>
                </c:pt>
                <c:pt idx="5">
                  <c:v>0</c:v>
                </c:pt>
                <c:pt idx="6">
                  <c:v>29.7</c:v>
                </c:pt>
                <c:pt idx="7">
                  <c:v>0</c:v>
                </c:pt>
                <c:pt idx="8">
                  <c:v>0</c:v>
                </c:pt>
                <c:pt idx="9">
                  <c:v>10.4</c:v>
                </c:pt>
              </c:numCache>
            </c:numRef>
          </c:val>
          <c:smooth val="0"/>
          <c:extLst>
            <c:ext xmlns:c16="http://schemas.microsoft.com/office/drawing/2014/chart" uri="{C3380CC4-5D6E-409C-BE32-E72D297353CC}">
              <c16:uniqueId val="{00000001-0989-BF45-B991-2F848EDED69F}"/>
            </c:ext>
          </c:extLst>
        </c:ser>
        <c:dLbls>
          <c:showLegendKey val="0"/>
          <c:showVal val="0"/>
          <c:showCatName val="0"/>
          <c:showSerName val="0"/>
          <c:showPercent val="0"/>
          <c:showBubbleSize val="0"/>
        </c:dLbls>
        <c:smooth val="0"/>
        <c:axId val="1928012560"/>
        <c:axId val="1"/>
      </c:lineChart>
      <c:catAx>
        <c:axId val="192801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sr-Latn-R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sr-Latn-RS"/>
          </a:p>
        </c:txPr>
        <c:crossAx val="1928012560"/>
        <c:crosses val="autoZero"/>
        <c:crossBetween val="between"/>
      </c:valAx>
      <c:spPr>
        <a:noFill/>
        <a:ln w="25400">
          <a:noFill/>
        </a:ln>
      </c:spPr>
    </c:plotArea>
    <c:legend>
      <c:legendPos val="b"/>
      <c:overlay val="0"/>
      <c:spPr>
        <a:noFill/>
        <a:ln w="25400">
          <a:noFill/>
        </a:ln>
      </c:spPr>
      <c:txPr>
        <a:bodyPr/>
        <a:lstStyle/>
        <a:p>
          <a:pPr>
            <a:defRPr sz="825" b="0" i="0" u="none" strike="noStrike" baseline="0">
              <a:solidFill>
                <a:srgbClr val="333333"/>
              </a:solidFill>
              <a:latin typeface="Calibri"/>
              <a:ea typeface="Calibri"/>
              <a:cs typeface="Calibri"/>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sr-Latn-R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3C43710-78B6-464E-9449-4A8D6EED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4901</Words>
  <Characters>27941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Jelena Kovačević</cp:lastModifiedBy>
  <cp:revision>2</cp:revision>
  <dcterms:created xsi:type="dcterms:W3CDTF">2021-04-26T05:54:00Z</dcterms:created>
  <dcterms:modified xsi:type="dcterms:W3CDTF">2021-04-26T05:54:00Z</dcterms:modified>
</cp:coreProperties>
</file>